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08" w:type="dxa"/>
        <w:tblLayout w:type="fixed"/>
        <w:tblLook w:val="04A0" w:firstRow="1" w:lastRow="0" w:firstColumn="1" w:lastColumn="0" w:noHBand="0" w:noVBand="1"/>
      </w:tblPr>
      <w:tblGrid>
        <w:gridCol w:w="2438"/>
        <w:gridCol w:w="6406"/>
      </w:tblGrid>
      <w:tr w:rsidR="00CE544A" w:rsidRPr="003E4C33" w14:paraId="2F63F022" w14:textId="77777777" w:rsidTr="6705CB2F">
        <w:tc>
          <w:tcPr>
            <w:tcW w:w="2438" w:type="dxa"/>
            <w:shd w:val="clear" w:color="auto" w:fill="auto"/>
          </w:tcPr>
          <w:p w14:paraId="3B17A912" w14:textId="77777777" w:rsidR="00F445B1" w:rsidRPr="003E4C33" w:rsidRDefault="006B2DE1" w:rsidP="004A6D2F">
            <w:pPr>
              <w:rPr>
                <w:rStyle w:val="Firstpagetablebold"/>
                <w:rFonts w:cs="Arial"/>
              </w:rPr>
            </w:pPr>
            <w:r w:rsidRPr="003E4C33">
              <w:rPr>
                <w:rStyle w:val="Firstpagetablebold"/>
                <w:rFonts w:cs="Arial"/>
              </w:rPr>
              <w:t>Decision type</w:t>
            </w:r>
            <w:r w:rsidR="005C35A5" w:rsidRPr="003E4C33">
              <w:rPr>
                <w:rStyle w:val="Firstpagetablebold"/>
                <w:rFonts w:cs="Arial"/>
              </w:rPr>
              <w:t>:</w:t>
            </w:r>
          </w:p>
        </w:tc>
        <w:tc>
          <w:tcPr>
            <w:tcW w:w="6406" w:type="dxa"/>
            <w:shd w:val="clear" w:color="auto" w:fill="auto"/>
          </w:tcPr>
          <w:p w14:paraId="15BDDA14" w14:textId="5C6D7AC0" w:rsidR="00F445B1" w:rsidRPr="003E4C33" w:rsidRDefault="00BF2B37" w:rsidP="004A6D2F">
            <w:pPr>
              <w:rPr>
                <w:rStyle w:val="Firstpagetablebold"/>
                <w:rFonts w:cs="Arial"/>
              </w:rPr>
            </w:pPr>
            <w:r w:rsidRPr="003E4C33">
              <w:rPr>
                <w:rStyle w:val="Firstpagetablebold"/>
                <w:rFonts w:cs="Arial"/>
              </w:rPr>
              <w:t xml:space="preserve">Single Member Decision </w:t>
            </w:r>
          </w:p>
        </w:tc>
      </w:tr>
      <w:tr w:rsidR="00CE544A" w:rsidRPr="003E4C33" w14:paraId="33BEC222" w14:textId="77777777" w:rsidTr="6705CB2F">
        <w:tc>
          <w:tcPr>
            <w:tcW w:w="2438" w:type="dxa"/>
            <w:shd w:val="clear" w:color="auto" w:fill="auto"/>
          </w:tcPr>
          <w:p w14:paraId="28000B0A" w14:textId="77777777" w:rsidR="00F445B1" w:rsidRPr="003E4C33" w:rsidRDefault="00F445B1" w:rsidP="004A6D2F">
            <w:pPr>
              <w:rPr>
                <w:rStyle w:val="Firstpagetablebold"/>
                <w:rFonts w:cs="Arial"/>
              </w:rPr>
            </w:pPr>
            <w:r w:rsidRPr="003E4C33">
              <w:rPr>
                <w:rStyle w:val="Firstpagetablebold"/>
                <w:rFonts w:cs="Arial"/>
              </w:rPr>
              <w:t>D</w:t>
            </w:r>
            <w:r w:rsidR="006B2DE1" w:rsidRPr="003E4C33">
              <w:rPr>
                <w:rStyle w:val="Firstpagetablebold"/>
                <w:rFonts w:cs="Arial"/>
              </w:rPr>
              <w:t>ecision d</w:t>
            </w:r>
            <w:r w:rsidRPr="003E4C33">
              <w:rPr>
                <w:rStyle w:val="Firstpagetablebold"/>
                <w:rFonts w:cs="Arial"/>
              </w:rPr>
              <w:t>at</w:t>
            </w:r>
            <w:r w:rsidR="005C35A5" w:rsidRPr="003E4C33">
              <w:rPr>
                <w:rStyle w:val="Firstpagetablebold"/>
                <w:rFonts w:cs="Arial"/>
              </w:rPr>
              <w:t>e:</w:t>
            </w:r>
          </w:p>
        </w:tc>
        <w:tc>
          <w:tcPr>
            <w:tcW w:w="6406" w:type="dxa"/>
            <w:shd w:val="clear" w:color="auto" w:fill="auto"/>
          </w:tcPr>
          <w:p w14:paraId="24B44B70" w14:textId="14C558FB" w:rsidR="00F445B1" w:rsidRPr="00C55247" w:rsidRDefault="00AD0A83" w:rsidP="007B5CA2">
            <w:pPr>
              <w:rPr>
                <w:rFonts w:cs="Arial"/>
                <w:b/>
                <w:bCs/>
                <w:color w:val="auto"/>
              </w:rPr>
            </w:pPr>
            <w:r>
              <w:rPr>
                <w:rFonts w:cs="Arial"/>
                <w:b/>
                <w:bCs/>
                <w:color w:val="auto"/>
              </w:rPr>
              <w:t>2 May 2025</w:t>
            </w:r>
          </w:p>
        </w:tc>
      </w:tr>
      <w:tr w:rsidR="00CE544A" w:rsidRPr="003E4C33" w14:paraId="4976D647" w14:textId="77777777" w:rsidTr="6705CB2F">
        <w:tc>
          <w:tcPr>
            <w:tcW w:w="2438" w:type="dxa"/>
            <w:shd w:val="clear" w:color="auto" w:fill="auto"/>
          </w:tcPr>
          <w:p w14:paraId="382A5FE7" w14:textId="77777777" w:rsidR="00F445B1" w:rsidRPr="003E4C33" w:rsidRDefault="006B2DE1" w:rsidP="004A6D2F">
            <w:pPr>
              <w:rPr>
                <w:rStyle w:val="Firstpagetablebold"/>
                <w:rFonts w:cs="Arial"/>
              </w:rPr>
            </w:pPr>
            <w:r w:rsidRPr="003E4C33">
              <w:rPr>
                <w:rStyle w:val="Firstpagetablebold"/>
                <w:rFonts w:cs="Arial"/>
              </w:rPr>
              <w:t>Decision maker</w:t>
            </w:r>
            <w:r w:rsidR="005C35A5" w:rsidRPr="003E4C33">
              <w:rPr>
                <w:rStyle w:val="Firstpagetablebold"/>
                <w:rFonts w:cs="Arial"/>
              </w:rPr>
              <w:t>:</w:t>
            </w:r>
          </w:p>
        </w:tc>
        <w:tc>
          <w:tcPr>
            <w:tcW w:w="6406" w:type="dxa"/>
            <w:shd w:val="clear" w:color="auto" w:fill="auto"/>
          </w:tcPr>
          <w:p w14:paraId="4CADFAAE" w14:textId="61DF0397" w:rsidR="00F445B1" w:rsidRPr="00C55247" w:rsidRDefault="00A338F3" w:rsidP="2BB29E7E">
            <w:pPr>
              <w:rPr>
                <w:rStyle w:val="Firstpagetablebold"/>
                <w:rFonts w:cs="Arial"/>
                <w:b w:val="0"/>
                <w:color w:val="auto"/>
              </w:rPr>
            </w:pPr>
            <w:r>
              <w:rPr>
                <w:rStyle w:val="Firstpagetablebold"/>
                <w:rFonts w:cs="Arial"/>
                <w:b w:val="0"/>
                <w:color w:val="auto"/>
              </w:rPr>
              <w:t xml:space="preserve">Councillor </w:t>
            </w:r>
            <w:r w:rsidR="003C1CAF">
              <w:rPr>
                <w:rStyle w:val="Firstpagetablebold"/>
                <w:rFonts w:cs="Arial"/>
                <w:b w:val="0"/>
                <w:color w:val="auto"/>
              </w:rPr>
              <w:t>Ed Turner, Deputy Leader (</w:t>
            </w:r>
            <w:r w:rsidR="00C848A2">
              <w:rPr>
                <w:rStyle w:val="Firstpagetablebold"/>
                <w:rFonts w:cs="Arial"/>
                <w:b w:val="0"/>
                <w:color w:val="auto"/>
              </w:rPr>
              <w:t>Statutory) – Finance and Asset Management</w:t>
            </w:r>
          </w:p>
        </w:tc>
      </w:tr>
      <w:tr w:rsidR="00CE544A" w:rsidRPr="003E4C33" w14:paraId="1CE13DCA" w14:textId="77777777" w:rsidTr="6705CB2F">
        <w:tc>
          <w:tcPr>
            <w:tcW w:w="2438" w:type="dxa"/>
            <w:shd w:val="clear" w:color="auto" w:fill="auto"/>
          </w:tcPr>
          <w:p w14:paraId="6F073F4D" w14:textId="77777777" w:rsidR="00F445B1" w:rsidRPr="003E4C33" w:rsidRDefault="006B2DE1" w:rsidP="004A6D2F">
            <w:pPr>
              <w:rPr>
                <w:rStyle w:val="Firstpagetablebold"/>
                <w:rFonts w:cs="Arial"/>
              </w:rPr>
            </w:pPr>
            <w:r w:rsidRPr="003E4C33">
              <w:rPr>
                <w:rStyle w:val="Firstpagetablebold"/>
                <w:rFonts w:cs="Arial"/>
              </w:rPr>
              <w:t>Decision title</w:t>
            </w:r>
            <w:r w:rsidR="00F445B1" w:rsidRPr="003E4C33">
              <w:rPr>
                <w:rStyle w:val="Firstpagetablebold"/>
                <w:rFonts w:cs="Arial"/>
              </w:rPr>
              <w:t xml:space="preserve">: </w:t>
            </w:r>
          </w:p>
        </w:tc>
        <w:tc>
          <w:tcPr>
            <w:tcW w:w="6406" w:type="dxa"/>
            <w:shd w:val="clear" w:color="auto" w:fill="auto"/>
          </w:tcPr>
          <w:p w14:paraId="04146131" w14:textId="3CF1975D" w:rsidR="00F445B1" w:rsidRPr="00C55247" w:rsidRDefault="008F6E48" w:rsidP="6705CB2F">
            <w:pPr>
              <w:rPr>
                <w:rStyle w:val="Firstpagetablebold"/>
                <w:rFonts w:cs="Arial"/>
                <w:b w:val="0"/>
                <w:color w:val="auto"/>
              </w:rPr>
            </w:pPr>
            <w:r>
              <w:rPr>
                <w:rStyle w:val="Firstpagetablebold"/>
                <w:rFonts w:cs="Arial"/>
                <w:b w:val="0"/>
                <w:color w:val="auto"/>
              </w:rPr>
              <w:t>To sell the freehold title of 64-65 Cornmarket Street</w:t>
            </w:r>
            <w:r w:rsidR="006C767F" w:rsidRPr="00C55247">
              <w:rPr>
                <w:rStyle w:val="Firstpagetablebold"/>
                <w:rFonts w:cs="Arial"/>
                <w:b w:val="0"/>
                <w:color w:val="auto"/>
              </w:rPr>
              <w:t xml:space="preserve"> </w:t>
            </w:r>
          </w:p>
        </w:tc>
      </w:tr>
    </w:tbl>
    <w:p w14:paraId="080C2F93" w14:textId="77777777" w:rsidR="004F20EF" w:rsidRPr="003E4C33" w:rsidRDefault="004F20EF" w:rsidP="004A6D2F">
      <w:pPr>
        <w:rPr>
          <w:rFonts w:cs="Arial"/>
        </w:rPr>
      </w:pPr>
    </w:p>
    <w:tbl>
      <w:tblPr>
        <w:tblW w:w="0" w:type="auto"/>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2438"/>
        <w:gridCol w:w="6407"/>
      </w:tblGrid>
      <w:tr w:rsidR="00D5547E" w:rsidRPr="003E4C33" w14:paraId="7FD44099" w14:textId="77777777" w:rsidTr="6705CB2F">
        <w:tc>
          <w:tcPr>
            <w:tcW w:w="8845" w:type="dxa"/>
            <w:gridSpan w:val="2"/>
            <w:tcBorders>
              <w:bottom w:val="single" w:sz="8" w:space="0" w:color="000000" w:themeColor="text1"/>
            </w:tcBorders>
            <w:hideMark/>
          </w:tcPr>
          <w:p w14:paraId="5689CEED" w14:textId="299E84BF" w:rsidR="00D5547E" w:rsidRPr="003E4C33" w:rsidRDefault="00745BF0" w:rsidP="00745BF0">
            <w:pPr>
              <w:jc w:val="center"/>
              <w:rPr>
                <w:rStyle w:val="Firstpagetablebold"/>
                <w:rFonts w:cs="Arial"/>
              </w:rPr>
            </w:pPr>
            <w:r w:rsidRPr="003E4C33">
              <w:rPr>
                <w:rStyle w:val="Firstpagetablebold"/>
                <w:rFonts w:cs="Arial"/>
              </w:rPr>
              <w:t xml:space="preserve">Summary </w:t>
            </w:r>
          </w:p>
        </w:tc>
      </w:tr>
      <w:tr w:rsidR="00D5547E" w:rsidRPr="003E4C33" w14:paraId="5A19916D" w14:textId="77777777" w:rsidTr="6705CB2F">
        <w:tc>
          <w:tcPr>
            <w:tcW w:w="2438" w:type="dxa"/>
            <w:tcBorders>
              <w:top w:val="single" w:sz="8" w:space="0" w:color="000000" w:themeColor="text1"/>
              <w:left w:val="single" w:sz="8" w:space="0" w:color="000000" w:themeColor="text1"/>
              <w:bottom w:val="nil"/>
              <w:right w:val="nil"/>
            </w:tcBorders>
            <w:hideMark/>
          </w:tcPr>
          <w:p w14:paraId="0CBF1A02" w14:textId="75CA1B6E" w:rsidR="00D5547E" w:rsidRPr="003E4C33" w:rsidRDefault="006C767F" w:rsidP="00523261">
            <w:pPr>
              <w:rPr>
                <w:rStyle w:val="Firstpagetablebold"/>
                <w:rFonts w:cs="Arial"/>
              </w:rPr>
            </w:pPr>
            <w:r w:rsidRPr="003E4C33">
              <w:rPr>
                <w:rStyle w:val="Firstpagetablebold"/>
                <w:rFonts w:cs="Arial"/>
              </w:rPr>
              <w:t>Decision being taken</w:t>
            </w:r>
            <w:r w:rsidR="00D5547E" w:rsidRPr="003E4C33">
              <w:rPr>
                <w:rStyle w:val="Firstpagetablebold"/>
                <w:rFonts w:cs="Arial"/>
              </w:rPr>
              <w:t>:</w:t>
            </w:r>
          </w:p>
        </w:tc>
        <w:tc>
          <w:tcPr>
            <w:tcW w:w="6407" w:type="dxa"/>
            <w:tcBorders>
              <w:top w:val="single" w:sz="8" w:space="0" w:color="000000" w:themeColor="text1"/>
              <w:left w:val="nil"/>
              <w:bottom w:val="nil"/>
              <w:right w:val="single" w:sz="8" w:space="0" w:color="000000" w:themeColor="text1"/>
            </w:tcBorders>
            <w:hideMark/>
          </w:tcPr>
          <w:p w14:paraId="1A556BE9" w14:textId="49080033" w:rsidR="00D5547E" w:rsidRPr="00C55247" w:rsidRDefault="008F6E48" w:rsidP="2BB29E7E">
            <w:pPr>
              <w:rPr>
                <w:rFonts w:cs="Arial"/>
                <w:color w:val="auto"/>
              </w:rPr>
            </w:pPr>
            <w:r>
              <w:rPr>
                <w:rFonts w:cs="Arial"/>
                <w:color w:val="auto"/>
              </w:rPr>
              <w:t>D</w:t>
            </w:r>
            <w:r>
              <w:t>ecision to dispose of</w:t>
            </w:r>
            <w:r w:rsidR="00CE1E72">
              <w:rPr>
                <w:rFonts w:cs="Arial"/>
                <w:color w:val="auto"/>
              </w:rPr>
              <w:t xml:space="preserve"> the freehold </w:t>
            </w:r>
            <w:r w:rsidR="00452865">
              <w:rPr>
                <w:rFonts w:cs="Arial"/>
                <w:color w:val="auto"/>
              </w:rPr>
              <w:t xml:space="preserve">title </w:t>
            </w:r>
            <w:r w:rsidR="00CE1E72">
              <w:rPr>
                <w:rFonts w:cs="Arial"/>
                <w:color w:val="auto"/>
              </w:rPr>
              <w:t>of 64-65 Cornmarket Street</w:t>
            </w:r>
            <w:r>
              <w:rPr>
                <w:rFonts w:cs="Arial"/>
                <w:color w:val="auto"/>
              </w:rPr>
              <w:t>.</w:t>
            </w:r>
          </w:p>
        </w:tc>
      </w:tr>
      <w:tr w:rsidR="00D5547E" w:rsidRPr="003E4C33" w14:paraId="14C2CC29" w14:textId="77777777" w:rsidTr="6705CB2F">
        <w:tc>
          <w:tcPr>
            <w:tcW w:w="2438" w:type="dxa"/>
            <w:tcBorders>
              <w:top w:val="nil"/>
              <w:left w:val="single" w:sz="8" w:space="0" w:color="000000" w:themeColor="text1"/>
              <w:bottom w:val="nil"/>
              <w:right w:val="nil"/>
            </w:tcBorders>
            <w:hideMark/>
          </w:tcPr>
          <w:p w14:paraId="21ECDCE3" w14:textId="77777777" w:rsidR="00D5547E" w:rsidRPr="003E4C33" w:rsidRDefault="00D5547E">
            <w:pPr>
              <w:rPr>
                <w:rStyle w:val="Firstpagetablebold"/>
                <w:rFonts w:cs="Arial"/>
              </w:rPr>
            </w:pPr>
            <w:r w:rsidRPr="003E4C33">
              <w:rPr>
                <w:rStyle w:val="Firstpagetablebold"/>
                <w:rFonts w:cs="Arial"/>
              </w:rPr>
              <w:t>Key decision:</w:t>
            </w:r>
          </w:p>
        </w:tc>
        <w:tc>
          <w:tcPr>
            <w:tcW w:w="6407" w:type="dxa"/>
            <w:tcBorders>
              <w:top w:val="nil"/>
              <w:left w:val="nil"/>
              <w:bottom w:val="nil"/>
              <w:right w:val="single" w:sz="8" w:space="0" w:color="000000" w:themeColor="text1"/>
            </w:tcBorders>
            <w:hideMark/>
          </w:tcPr>
          <w:p w14:paraId="16E2C596" w14:textId="62E8B3F8" w:rsidR="00D5547E" w:rsidRPr="00C55247" w:rsidRDefault="00452865" w:rsidP="2BB29E7E">
            <w:pPr>
              <w:rPr>
                <w:rFonts w:cs="Arial"/>
                <w:color w:val="auto"/>
              </w:rPr>
            </w:pPr>
            <w:r>
              <w:rPr>
                <w:rFonts w:cs="Arial"/>
                <w:color w:val="auto"/>
              </w:rPr>
              <w:t xml:space="preserve">Yes. Taken as an urgent key decision due to timescales involved. </w:t>
            </w:r>
            <w:r w:rsidR="08612AF7" w:rsidRPr="00C55247">
              <w:rPr>
                <w:rFonts w:cs="Arial"/>
                <w:color w:val="auto"/>
              </w:rPr>
              <w:t xml:space="preserve"> </w:t>
            </w:r>
          </w:p>
        </w:tc>
      </w:tr>
      <w:tr w:rsidR="006B2DE1" w:rsidRPr="003E4C33" w14:paraId="631D49A6" w14:textId="77777777" w:rsidTr="6705CB2F">
        <w:tc>
          <w:tcPr>
            <w:tcW w:w="2438" w:type="dxa"/>
            <w:tcBorders>
              <w:top w:val="nil"/>
              <w:left w:val="single" w:sz="8" w:space="0" w:color="000000" w:themeColor="text1"/>
              <w:bottom w:val="nil"/>
              <w:right w:val="nil"/>
            </w:tcBorders>
          </w:tcPr>
          <w:p w14:paraId="17BC101D" w14:textId="77777777" w:rsidR="006B2DE1" w:rsidRPr="003E4C33" w:rsidRDefault="006B2DE1">
            <w:pPr>
              <w:rPr>
                <w:rStyle w:val="Firstpagetablebold"/>
                <w:rFonts w:cs="Arial"/>
              </w:rPr>
            </w:pPr>
            <w:r w:rsidRPr="003E4C33">
              <w:rPr>
                <w:rStyle w:val="Firstpagetablebold"/>
                <w:rFonts w:cs="Arial"/>
              </w:rPr>
              <w:t>Source of delegation:</w:t>
            </w:r>
          </w:p>
        </w:tc>
        <w:tc>
          <w:tcPr>
            <w:tcW w:w="6407" w:type="dxa"/>
            <w:tcBorders>
              <w:top w:val="nil"/>
              <w:left w:val="nil"/>
              <w:bottom w:val="nil"/>
              <w:right w:val="single" w:sz="8" w:space="0" w:color="000000" w:themeColor="text1"/>
            </w:tcBorders>
          </w:tcPr>
          <w:p w14:paraId="24C2E022" w14:textId="53654A18" w:rsidR="006B2DE1" w:rsidRPr="00C55247" w:rsidRDefault="000768CF" w:rsidP="003E4C33">
            <w:pPr>
              <w:rPr>
                <w:rFonts w:cs="Arial"/>
                <w:color w:val="auto"/>
              </w:rPr>
            </w:pPr>
            <w:r>
              <w:rPr>
                <w:rFonts w:cs="Arial"/>
                <w:color w:val="auto"/>
              </w:rPr>
              <w:t>Delegated to a single member decision by Councillor Susan Brown</w:t>
            </w:r>
            <w:r w:rsidR="002A74AE">
              <w:rPr>
                <w:rFonts w:cs="Arial"/>
                <w:color w:val="auto"/>
              </w:rPr>
              <w:t xml:space="preserve">, as per Part </w:t>
            </w:r>
            <w:r w:rsidR="00155C24">
              <w:rPr>
                <w:rFonts w:cs="Arial"/>
                <w:color w:val="auto"/>
              </w:rPr>
              <w:t xml:space="preserve">4.6 and </w:t>
            </w:r>
            <w:r w:rsidR="002A74AE">
              <w:rPr>
                <w:rFonts w:cs="Arial"/>
                <w:color w:val="auto"/>
              </w:rPr>
              <w:t>15</w:t>
            </w:r>
            <w:r w:rsidR="00155C24">
              <w:rPr>
                <w:rFonts w:cs="Arial"/>
                <w:color w:val="auto"/>
              </w:rPr>
              <w:t>.17</w:t>
            </w:r>
            <w:r w:rsidR="002A74AE">
              <w:rPr>
                <w:rFonts w:cs="Arial"/>
                <w:color w:val="auto"/>
              </w:rPr>
              <w:t xml:space="preserve"> of the Council’s Constitution. </w:t>
            </w:r>
          </w:p>
        </w:tc>
      </w:tr>
      <w:tr w:rsidR="00E508A1" w:rsidRPr="003E4C33" w14:paraId="271E719F" w14:textId="77777777" w:rsidTr="6705CB2F">
        <w:tc>
          <w:tcPr>
            <w:tcW w:w="2438" w:type="dxa"/>
            <w:tcBorders>
              <w:top w:val="nil"/>
              <w:left w:val="single" w:sz="8" w:space="0" w:color="000000" w:themeColor="text1"/>
              <w:bottom w:val="nil"/>
              <w:right w:val="nil"/>
            </w:tcBorders>
          </w:tcPr>
          <w:p w14:paraId="1A335B57" w14:textId="576239ED" w:rsidR="00E508A1" w:rsidRPr="003E4C33" w:rsidRDefault="00E508A1" w:rsidP="00E508A1">
            <w:pPr>
              <w:rPr>
                <w:rStyle w:val="Firstpagetablebold"/>
                <w:rFonts w:cs="Arial"/>
              </w:rPr>
            </w:pPr>
            <w:r>
              <w:rPr>
                <w:rStyle w:val="Firstpagetablebold"/>
              </w:rPr>
              <w:t>Cabinet Member:</w:t>
            </w:r>
          </w:p>
        </w:tc>
        <w:tc>
          <w:tcPr>
            <w:tcW w:w="6407" w:type="dxa"/>
            <w:tcBorders>
              <w:top w:val="nil"/>
              <w:left w:val="nil"/>
              <w:bottom w:val="nil"/>
              <w:right w:val="single" w:sz="8" w:space="0" w:color="000000" w:themeColor="text1"/>
            </w:tcBorders>
          </w:tcPr>
          <w:p w14:paraId="3F43CD0E" w14:textId="7C9856C8" w:rsidR="00E508A1" w:rsidRPr="00C55247" w:rsidRDefault="00E508A1" w:rsidP="00E508A1">
            <w:pPr>
              <w:rPr>
                <w:rFonts w:cs="Arial"/>
                <w:color w:val="auto"/>
              </w:rPr>
            </w:pPr>
            <w:r w:rsidRPr="00C55247">
              <w:rPr>
                <w:color w:val="auto"/>
              </w:rPr>
              <w:t xml:space="preserve">Councillor </w:t>
            </w:r>
            <w:r w:rsidR="007D2642">
              <w:rPr>
                <w:color w:val="auto"/>
              </w:rPr>
              <w:t xml:space="preserve">Ed Turner, </w:t>
            </w:r>
            <w:r w:rsidR="008D5F6E">
              <w:t>Deputy Leader (Statutory) – Finance and Asset Management</w:t>
            </w:r>
          </w:p>
        </w:tc>
      </w:tr>
      <w:tr w:rsidR="00E508A1" w:rsidRPr="003E4C33" w14:paraId="7239C84D" w14:textId="77777777" w:rsidTr="6705CB2F">
        <w:tc>
          <w:tcPr>
            <w:tcW w:w="2438" w:type="dxa"/>
            <w:tcBorders>
              <w:top w:val="nil"/>
              <w:left w:val="single" w:sz="8" w:space="0" w:color="000000" w:themeColor="text1"/>
              <w:bottom w:val="nil"/>
              <w:right w:val="nil"/>
            </w:tcBorders>
          </w:tcPr>
          <w:p w14:paraId="69154EA3" w14:textId="5398B245" w:rsidR="00E508A1" w:rsidRPr="003E4C33" w:rsidRDefault="00E508A1" w:rsidP="00E508A1">
            <w:pPr>
              <w:rPr>
                <w:rStyle w:val="Firstpagetablebold"/>
                <w:rFonts w:cs="Arial"/>
              </w:rPr>
            </w:pPr>
            <w:r>
              <w:rPr>
                <w:rStyle w:val="Firstpagetablebold"/>
              </w:rPr>
              <w:t>Corporate Priority:</w:t>
            </w:r>
          </w:p>
        </w:tc>
        <w:tc>
          <w:tcPr>
            <w:tcW w:w="6407" w:type="dxa"/>
            <w:tcBorders>
              <w:top w:val="nil"/>
              <w:left w:val="nil"/>
              <w:bottom w:val="nil"/>
              <w:right w:val="single" w:sz="8" w:space="0" w:color="000000" w:themeColor="text1"/>
            </w:tcBorders>
          </w:tcPr>
          <w:p w14:paraId="7176B63A" w14:textId="0D63324F" w:rsidR="00E508A1" w:rsidRPr="00C55247" w:rsidRDefault="007B3A2C" w:rsidP="00E508A1">
            <w:pPr>
              <w:rPr>
                <w:rFonts w:cs="Arial"/>
                <w:color w:val="auto"/>
              </w:rPr>
            </w:pPr>
            <w:r>
              <w:rPr>
                <w:color w:val="auto"/>
              </w:rPr>
              <w:t>Enabling an Inclusive Economy</w:t>
            </w:r>
          </w:p>
        </w:tc>
      </w:tr>
      <w:tr w:rsidR="00E508A1" w:rsidRPr="003E4C33" w14:paraId="7C13F173" w14:textId="77777777" w:rsidTr="6705CB2F">
        <w:tc>
          <w:tcPr>
            <w:tcW w:w="2438" w:type="dxa"/>
            <w:tcBorders>
              <w:top w:val="nil"/>
              <w:left w:val="single" w:sz="8" w:space="0" w:color="000000" w:themeColor="text1"/>
              <w:bottom w:val="single" w:sz="4" w:space="0" w:color="auto"/>
              <w:right w:val="nil"/>
            </w:tcBorders>
          </w:tcPr>
          <w:p w14:paraId="03C588C4" w14:textId="0F96CD21" w:rsidR="00E508A1" w:rsidRPr="003E4C33" w:rsidRDefault="00E508A1" w:rsidP="00E508A1">
            <w:pPr>
              <w:rPr>
                <w:rStyle w:val="Firstpagetablebold"/>
                <w:rFonts w:cs="Arial"/>
              </w:rPr>
            </w:pPr>
            <w:r>
              <w:rPr>
                <w:rStyle w:val="Firstpagetablebold"/>
              </w:rPr>
              <w:t>Policy Framework:</w:t>
            </w:r>
          </w:p>
        </w:tc>
        <w:tc>
          <w:tcPr>
            <w:tcW w:w="6407" w:type="dxa"/>
            <w:tcBorders>
              <w:top w:val="nil"/>
              <w:left w:val="nil"/>
              <w:bottom w:val="single" w:sz="4" w:space="0" w:color="auto"/>
              <w:right w:val="single" w:sz="8" w:space="0" w:color="000000" w:themeColor="text1"/>
            </w:tcBorders>
          </w:tcPr>
          <w:p w14:paraId="4C1C7DD3" w14:textId="4A566312" w:rsidR="00E508A1" w:rsidRPr="00C55247" w:rsidRDefault="007B3A2C" w:rsidP="00E508A1">
            <w:pPr>
              <w:rPr>
                <w:rFonts w:cs="Arial"/>
                <w:color w:val="auto"/>
              </w:rPr>
            </w:pPr>
            <w:r>
              <w:rPr>
                <w:color w:val="auto"/>
              </w:rPr>
              <w:t>Asset Management Strategy</w:t>
            </w:r>
          </w:p>
        </w:tc>
      </w:tr>
    </w:tbl>
    <w:p w14:paraId="759F4236" w14:textId="77777777" w:rsidR="00CE544A" w:rsidRDefault="00CE544A" w:rsidP="004A6D2F">
      <w:pPr>
        <w:rPr>
          <w:rFonts w:cs="Arial"/>
        </w:rPr>
      </w:pPr>
    </w:p>
    <w:tbl>
      <w:tblPr>
        <w:tblW w:w="0" w:type="auto"/>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426"/>
        <w:gridCol w:w="8419"/>
      </w:tblGrid>
      <w:tr w:rsidR="00340B77" w:rsidRPr="00975B07" w14:paraId="6AB9E16B" w14:textId="77777777" w:rsidTr="002D57D7">
        <w:trPr>
          <w:trHeight w:val="413"/>
        </w:trPr>
        <w:tc>
          <w:tcPr>
            <w:tcW w:w="8845" w:type="dxa"/>
            <w:gridSpan w:val="2"/>
            <w:tcBorders>
              <w:bottom w:val="single" w:sz="8" w:space="0" w:color="000000"/>
            </w:tcBorders>
          </w:tcPr>
          <w:p w14:paraId="39BB8A6A" w14:textId="7109409C" w:rsidR="00340B77" w:rsidRPr="00975B07" w:rsidRDefault="003C1CAF" w:rsidP="002D57D7">
            <w:r>
              <w:t>Councillor Ed Turner, Deputy Leader (Statutory) – Finance and Asset Management</w:t>
            </w:r>
            <w:r w:rsidR="00CE1E72">
              <w:t xml:space="preserve"> </w:t>
            </w:r>
            <w:r w:rsidR="00635E3E">
              <w:t xml:space="preserve">decides as follows: </w:t>
            </w:r>
          </w:p>
        </w:tc>
      </w:tr>
      <w:tr w:rsidR="00340B77" w:rsidRPr="00975B07" w14:paraId="1817F3CE" w14:textId="77777777" w:rsidTr="00364C68">
        <w:trPr>
          <w:trHeight w:val="283"/>
        </w:trPr>
        <w:tc>
          <w:tcPr>
            <w:tcW w:w="426" w:type="dxa"/>
            <w:tcBorders>
              <w:top w:val="single" w:sz="8" w:space="0" w:color="000000"/>
              <w:left w:val="single" w:sz="8" w:space="0" w:color="000000"/>
              <w:bottom w:val="single" w:sz="4" w:space="0" w:color="auto"/>
              <w:right w:val="nil"/>
            </w:tcBorders>
          </w:tcPr>
          <w:p w14:paraId="7809A8B3" w14:textId="77777777" w:rsidR="00340B77" w:rsidRPr="00975B07" w:rsidRDefault="00340B77" w:rsidP="002D57D7">
            <w:r w:rsidRPr="00975B07">
              <w:t>1.</w:t>
            </w:r>
          </w:p>
        </w:tc>
        <w:tc>
          <w:tcPr>
            <w:tcW w:w="8419" w:type="dxa"/>
            <w:tcBorders>
              <w:top w:val="single" w:sz="8" w:space="0" w:color="000000"/>
              <w:left w:val="nil"/>
              <w:bottom w:val="single" w:sz="4" w:space="0" w:color="auto"/>
              <w:right w:val="single" w:sz="8" w:space="0" w:color="000000"/>
            </w:tcBorders>
            <w:shd w:val="clear" w:color="auto" w:fill="auto"/>
          </w:tcPr>
          <w:p w14:paraId="2599CB46" w14:textId="2EBA38CF" w:rsidR="00340B77" w:rsidRPr="00443D52" w:rsidRDefault="008F6E48" w:rsidP="002D57D7">
            <w:pPr>
              <w:rPr>
                <w:b/>
              </w:rPr>
            </w:pPr>
            <w:r>
              <w:rPr>
                <w:rStyle w:val="Firstpagetablebold"/>
                <w:b w:val="0"/>
                <w:bCs/>
              </w:rPr>
              <w:t>To s</w:t>
            </w:r>
            <w:r w:rsidR="00BC4924" w:rsidRPr="00BC4924">
              <w:rPr>
                <w:rStyle w:val="Firstpagetablebold"/>
                <w:b w:val="0"/>
                <w:bCs/>
              </w:rPr>
              <w:t>el</w:t>
            </w:r>
            <w:r w:rsidR="00BC4924">
              <w:rPr>
                <w:rStyle w:val="Firstpagetablebold"/>
                <w:b w:val="0"/>
                <w:bCs/>
              </w:rPr>
              <w:t>l the freehold title of 64-65 Cornmarket Street</w:t>
            </w:r>
            <w:r>
              <w:rPr>
                <w:rStyle w:val="Firstpagetablebold"/>
                <w:b w:val="0"/>
                <w:bCs/>
              </w:rPr>
              <w:t>.</w:t>
            </w:r>
          </w:p>
        </w:tc>
      </w:tr>
    </w:tbl>
    <w:p w14:paraId="161FC716" w14:textId="77777777" w:rsidR="00340B77" w:rsidRDefault="00340B77" w:rsidP="004A6D2F"/>
    <w:p w14:paraId="20640FB6" w14:textId="77777777" w:rsidR="00340B77" w:rsidRPr="003E4C33" w:rsidRDefault="00340B77" w:rsidP="004A6D2F">
      <w:pPr>
        <w:rPr>
          <w:rFonts w:cs="Arial"/>
        </w:rPr>
      </w:pPr>
    </w:p>
    <w:tbl>
      <w:tblPr>
        <w:tblW w:w="0" w:type="auto"/>
        <w:tblInd w:w="108"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1912"/>
        <w:gridCol w:w="2803"/>
        <w:gridCol w:w="4455"/>
      </w:tblGrid>
      <w:tr w:rsidR="004A39C3" w:rsidRPr="003E4C33" w14:paraId="1B1B668F" w14:textId="77777777" w:rsidTr="6705CB2F">
        <w:trPr>
          <w:trHeight w:val="300"/>
        </w:trPr>
        <w:tc>
          <w:tcPr>
            <w:tcW w:w="1912" w:type="dxa"/>
            <w:tcBorders>
              <w:bottom w:val="single" w:sz="4" w:space="0" w:color="auto"/>
            </w:tcBorders>
          </w:tcPr>
          <w:p w14:paraId="074FB3AC" w14:textId="4B24A879" w:rsidR="004A39C3" w:rsidRPr="003E4C33" w:rsidRDefault="004A39C3" w:rsidP="002D57D7">
            <w:pPr>
              <w:jc w:val="center"/>
              <w:rPr>
                <w:rStyle w:val="Firstpagetablebold"/>
                <w:rFonts w:cs="Arial"/>
              </w:rPr>
            </w:pPr>
            <w:r>
              <w:rPr>
                <w:rStyle w:val="Firstpagetablebold"/>
                <w:rFonts w:cs="Arial"/>
              </w:rPr>
              <w:t>A</w:t>
            </w:r>
            <w:r>
              <w:rPr>
                <w:rStyle w:val="Firstpagetablebold"/>
              </w:rPr>
              <w:t>ppendix No.</w:t>
            </w:r>
          </w:p>
        </w:tc>
        <w:tc>
          <w:tcPr>
            <w:tcW w:w="2803" w:type="dxa"/>
            <w:tcBorders>
              <w:bottom w:val="single" w:sz="4" w:space="0" w:color="auto"/>
            </w:tcBorders>
          </w:tcPr>
          <w:p w14:paraId="17AC6EFC" w14:textId="287FF34B" w:rsidR="004A39C3" w:rsidRPr="003E4C33" w:rsidRDefault="004A39C3" w:rsidP="002D57D7">
            <w:pPr>
              <w:jc w:val="center"/>
              <w:rPr>
                <w:rStyle w:val="Firstpagetablebold"/>
                <w:rFonts w:cs="Arial"/>
              </w:rPr>
            </w:pPr>
            <w:r>
              <w:rPr>
                <w:rStyle w:val="Firstpagetablebold"/>
                <w:rFonts w:cs="Arial"/>
              </w:rPr>
              <w:t xml:space="preserve">Appendix Title </w:t>
            </w:r>
          </w:p>
        </w:tc>
        <w:tc>
          <w:tcPr>
            <w:tcW w:w="4455" w:type="dxa"/>
            <w:tcBorders>
              <w:bottom w:val="single" w:sz="4" w:space="0" w:color="auto"/>
            </w:tcBorders>
          </w:tcPr>
          <w:p w14:paraId="3F542BA6" w14:textId="3D79D3D9" w:rsidR="004A39C3" w:rsidRPr="003E4C33" w:rsidRDefault="004A39C3" w:rsidP="002D57D7">
            <w:pPr>
              <w:jc w:val="center"/>
              <w:rPr>
                <w:rStyle w:val="Firstpagetablebold"/>
                <w:rFonts w:cs="Arial"/>
              </w:rPr>
            </w:pPr>
            <w:r>
              <w:rPr>
                <w:rStyle w:val="Firstpagetablebold"/>
                <w:rFonts w:cs="Arial"/>
              </w:rPr>
              <w:t>Exempt from Publication</w:t>
            </w:r>
          </w:p>
        </w:tc>
      </w:tr>
      <w:tr w:rsidR="006E1FA1" w:rsidRPr="003E4C33" w14:paraId="65A82881" w14:textId="77777777" w:rsidTr="6705CB2F">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300"/>
        </w:trPr>
        <w:tc>
          <w:tcPr>
            <w:tcW w:w="1912" w:type="dxa"/>
            <w:tcBorders>
              <w:top w:val="single" w:sz="4" w:space="0" w:color="auto"/>
              <w:left w:val="single" w:sz="4" w:space="0" w:color="auto"/>
              <w:bottom w:val="single" w:sz="4" w:space="0" w:color="auto"/>
              <w:right w:val="single" w:sz="4" w:space="0" w:color="auto"/>
            </w:tcBorders>
          </w:tcPr>
          <w:p w14:paraId="141C8FF5" w14:textId="016E90DC" w:rsidR="006E1FA1" w:rsidRPr="00C55247" w:rsidRDefault="006E1FA1" w:rsidP="002D57D7">
            <w:pPr>
              <w:rPr>
                <w:rStyle w:val="Firstpagetablebold"/>
                <w:rFonts w:cs="Arial"/>
                <w:color w:val="auto"/>
              </w:rPr>
            </w:pPr>
            <w:r w:rsidRPr="00C55247">
              <w:rPr>
                <w:rStyle w:val="Firstpagetablebold"/>
                <w:rFonts w:cs="Arial"/>
                <w:color w:val="auto"/>
              </w:rPr>
              <w:t>Appendix 1</w:t>
            </w:r>
          </w:p>
        </w:tc>
        <w:tc>
          <w:tcPr>
            <w:tcW w:w="2803" w:type="dxa"/>
            <w:tcBorders>
              <w:top w:val="single" w:sz="4" w:space="0" w:color="auto"/>
              <w:left w:val="single" w:sz="4" w:space="0" w:color="auto"/>
              <w:bottom w:val="single" w:sz="4" w:space="0" w:color="auto"/>
              <w:right w:val="single" w:sz="4" w:space="0" w:color="auto"/>
            </w:tcBorders>
          </w:tcPr>
          <w:p w14:paraId="012A0FE8" w14:textId="7F7AEE6B" w:rsidR="006E1FA1" w:rsidRPr="00C55247" w:rsidRDefault="00DB27FA" w:rsidP="00AE262E">
            <w:pPr>
              <w:rPr>
                <w:rFonts w:cs="Arial"/>
                <w:color w:val="auto"/>
              </w:rPr>
            </w:pPr>
            <w:r>
              <w:rPr>
                <w:rFonts w:cs="Arial"/>
                <w:color w:val="auto"/>
              </w:rPr>
              <w:t>Exempt Appendix 1 – Sale terms and financial implications</w:t>
            </w:r>
          </w:p>
        </w:tc>
        <w:tc>
          <w:tcPr>
            <w:tcW w:w="4455" w:type="dxa"/>
            <w:tcBorders>
              <w:top w:val="single" w:sz="4" w:space="0" w:color="auto"/>
              <w:left w:val="single" w:sz="4" w:space="0" w:color="auto"/>
              <w:bottom w:val="single" w:sz="4" w:space="0" w:color="auto"/>
              <w:right w:val="single" w:sz="4" w:space="0" w:color="auto"/>
            </w:tcBorders>
          </w:tcPr>
          <w:p w14:paraId="2B561EF1" w14:textId="5827BEBD" w:rsidR="006E1FA1" w:rsidRPr="00C55247" w:rsidRDefault="00DB27FA" w:rsidP="004A39C3">
            <w:pPr>
              <w:ind w:left="426" w:hanging="426"/>
              <w:rPr>
                <w:color w:val="auto"/>
              </w:rPr>
            </w:pPr>
            <w:r>
              <w:rPr>
                <w:color w:val="auto"/>
              </w:rPr>
              <w:t>Yes</w:t>
            </w:r>
            <w:r w:rsidR="004A39C3" w:rsidRPr="00C55247">
              <w:rPr>
                <w:color w:val="auto"/>
              </w:rPr>
              <w:t xml:space="preserve"> </w:t>
            </w:r>
          </w:p>
          <w:p w14:paraId="72A6B41A" w14:textId="220F58B1" w:rsidR="004A39C3" w:rsidRPr="00C55247" w:rsidRDefault="5C2B989B" w:rsidP="004A39C3">
            <w:pPr>
              <w:rPr>
                <w:rFonts w:cs="Arial"/>
                <w:color w:val="auto"/>
              </w:rPr>
            </w:pPr>
            <w:r w:rsidRPr="00C55247">
              <w:rPr>
                <w:rFonts w:cs="Arial"/>
                <w:color w:val="auto"/>
              </w:rPr>
              <w:t xml:space="preserve">This information is exempted from publication under Schedule 12A to the Local Government Act 1972 </w:t>
            </w:r>
            <w:r w:rsidR="7ECA0CCF" w:rsidRPr="00C55247">
              <w:rPr>
                <w:rFonts w:cs="Arial"/>
                <w:color w:val="auto"/>
              </w:rPr>
              <w:t xml:space="preserve"> since it </w:t>
            </w:r>
            <w:r w:rsidRPr="00C55247">
              <w:rPr>
                <w:rFonts w:cs="Arial"/>
                <w:color w:val="auto"/>
              </w:rPr>
              <w:t>is:</w:t>
            </w:r>
          </w:p>
          <w:p w14:paraId="695C2EE9" w14:textId="77777777" w:rsidR="004A39C3" w:rsidRPr="00C55247" w:rsidRDefault="004A39C3" w:rsidP="004A39C3">
            <w:pPr>
              <w:pStyle w:val="ListParagraph"/>
              <w:numPr>
                <w:ilvl w:val="0"/>
                <w:numId w:val="41"/>
              </w:numPr>
              <w:rPr>
                <w:rFonts w:cs="Arial"/>
                <w:color w:val="auto"/>
              </w:rPr>
            </w:pPr>
            <w:r w:rsidRPr="00C55247">
              <w:rPr>
                <w:rFonts w:cs="Arial"/>
                <w:color w:val="auto"/>
              </w:rPr>
              <w:t xml:space="preserve">Information about individuals </w:t>
            </w:r>
          </w:p>
          <w:p w14:paraId="26CB7083" w14:textId="0B852DBA" w:rsidR="00EB3E54" w:rsidRPr="00EB3E54" w:rsidRDefault="004A39C3" w:rsidP="00EB3E54">
            <w:pPr>
              <w:pStyle w:val="ListParagraph"/>
              <w:numPr>
                <w:ilvl w:val="0"/>
                <w:numId w:val="41"/>
              </w:numPr>
              <w:rPr>
                <w:rFonts w:cs="Arial"/>
                <w:color w:val="auto"/>
              </w:rPr>
            </w:pPr>
            <w:r w:rsidRPr="00C55247">
              <w:rPr>
                <w:rFonts w:cs="Arial"/>
                <w:color w:val="auto"/>
              </w:rPr>
              <w:t xml:space="preserve">Information about someone’s finances or business </w:t>
            </w:r>
          </w:p>
        </w:tc>
      </w:tr>
      <w:tr w:rsidR="00C54A7D" w:rsidRPr="003E4C33" w14:paraId="0E3464AB" w14:textId="77777777" w:rsidTr="6705CB2F">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300"/>
        </w:trPr>
        <w:tc>
          <w:tcPr>
            <w:tcW w:w="1912" w:type="dxa"/>
            <w:tcBorders>
              <w:top w:val="single" w:sz="4" w:space="0" w:color="auto"/>
              <w:left w:val="single" w:sz="4" w:space="0" w:color="auto"/>
              <w:bottom w:val="single" w:sz="4" w:space="0" w:color="auto"/>
              <w:right w:val="single" w:sz="4" w:space="0" w:color="auto"/>
            </w:tcBorders>
          </w:tcPr>
          <w:p w14:paraId="1DC27287" w14:textId="3B1077F5" w:rsidR="00C54A7D" w:rsidRPr="00C55247" w:rsidRDefault="00C54A7D" w:rsidP="002D57D7">
            <w:pPr>
              <w:rPr>
                <w:rStyle w:val="Firstpagetablebold"/>
                <w:rFonts w:cs="Arial"/>
                <w:color w:val="auto"/>
              </w:rPr>
            </w:pPr>
            <w:r>
              <w:rPr>
                <w:rStyle w:val="Firstpagetablebold"/>
                <w:rFonts w:cs="Arial"/>
                <w:color w:val="auto"/>
              </w:rPr>
              <w:lastRenderedPageBreak/>
              <w:t>A</w:t>
            </w:r>
            <w:r>
              <w:rPr>
                <w:rStyle w:val="Firstpagetablebold"/>
                <w:rFonts w:cs="Arial"/>
              </w:rPr>
              <w:t>ppendix 2</w:t>
            </w:r>
          </w:p>
        </w:tc>
        <w:tc>
          <w:tcPr>
            <w:tcW w:w="2803" w:type="dxa"/>
            <w:tcBorders>
              <w:top w:val="single" w:sz="4" w:space="0" w:color="auto"/>
              <w:left w:val="single" w:sz="4" w:space="0" w:color="auto"/>
              <w:bottom w:val="single" w:sz="4" w:space="0" w:color="auto"/>
              <w:right w:val="single" w:sz="4" w:space="0" w:color="auto"/>
            </w:tcBorders>
          </w:tcPr>
          <w:p w14:paraId="47B0633C" w14:textId="50EC444B" w:rsidR="00C54A7D" w:rsidRDefault="00C54A7D" w:rsidP="00AE262E">
            <w:pPr>
              <w:rPr>
                <w:rFonts w:cs="Arial"/>
                <w:color w:val="auto"/>
              </w:rPr>
            </w:pPr>
            <w:r>
              <w:rPr>
                <w:rFonts w:cs="Arial"/>
                <w:color w:val="auto"/>
              </w:rPr>
              <w:t>Appendix 2 – Risk Register 64-65 Cornmarket Street Disposal</w:t>
            </w:r>
          </w:p>
        </w:tc>
        <w:tc>
          <w:tcPr>
            <w:tcW w:w="4455" w:type="dxa"/>
            <w:tcBorders>
              <w:top w:val="single" w:sz="4" w:space="0" w:color="auto"/>
              <w:left w:val="single" w:sz="4" w:space="0" w:color="auto"/>
              <w:bottom w:val="single" w:sz="4" w:space="0" w:color="auto"/>
              <w:right w:val="single" w:sz="4" w:space="0" w:color="auto"/>
            </w:tcBorders>
          </w:tcPr>
          <w:p w14:paraId="54DBC57E" w14:textId="3A2F19D2" w:rsidR="00C54A7D" w:rsidRDefault="00C54A7D" w:rsidP="004A39C3">
            <w:pPr>
              <w:ind w:left="426" w:hanging="426"/>
              <w:rPr>
                <w:color w:val="auto"/>
              </w:rPr>
            </w:pPr>
            <w:r>
              <w:rPr>
                <w:color w:val="auto"/>
              </w:rPr>
              <w:t>No</w:t>
            </w:r>
          </w:p>
        </w:tc>
      </w:tr>
    </w:tbl>
    <w:p w14:paraId="708F6CB5" w14:textId="77777777" w:rsidR="00EB3E54" w:rsidRDefault="00EB3E54" w:rsidP="004A6D2F">
      <w:pPr>
        <w:pStyle w:val="Heading1"/>
        <w:rPr>
          <w:rFonts w:cs="Arial"/>
        </w:rPr>
      </w:pPr>
    </w:p>
    <w:p w14:paraId="464A13D2" w14:textId="0F37F3C4" w:rsidR="0040736F" w:rsidRPr="003E4C33" w:rsidRDefault="00F66DCA" w:rsidP="004A6D2F">
      <w:pPr>
        <w:pStyle w:val="Heading1"/>
        <w:rPr>
          <w:rFonts w:cs="Arial"/>
        </w:rPr>
      </w:pPr>
      <w:r w:rsidRPr="003E4C33">
        <w:rPr>
          <w:rFonts w:cs="Arial"/>
        </w:rPr>
        <w:t>Introduction and b</w:t>
      </w:r>
      <w:r w:rsidR="00151888" w:rsidRPr="003E4C33">
        <w:rPr>
          <w:rFonts w:cs="Arial"/>
        </w:rPr>
        <w:t>ackground</w:t>
      </w:r>
      <w:r w:rsidR="00404032" w:rsidRPr="003E4C33">
        <w:rPr>
          <w:rFonts w:cs="Arial"/>
        </w:rPr>
        <w:t xml:space="preserve"> </w:t>
      </w:r>
    </w:p>
    <w:p w14:paraId="60030328" w14:textId="1E35348F" w:rsidR="00586E67" w:rsidRPr="00DE3615" w:rsidRDefault="00586E67" w:rsidP="00586E67">
      <w:pPr>
        <w:pStyle w:val="ListParagraph"/>
        <w:numPr>
          <w:ilvl w:val="0"/>
          <w:numId w:val="46"/>
        </w:numPr>
        <w:rPr>
          <w:color w:val="auto"/>
        </w:rPr>
      </w:pPr>
      <w:r w:rsidRPr="00DE3615">
        <w:t xml:space="preserve">Oxford City Council owns the freehold of 64-65 Cornmarket Street, currently leased to HSBC on a 5 year lease expiring September 2025, with a renewal in progress for another 5 years. The freehold is not held in its entirety by OCC and is instead split with another freeholder – previously Lothbury but now </w:t>
      </w:r>
      <w:r w:rsidR="00DE3615" w:rsidRPr="00DE3615">
        <w:t xml:space="preserve">GP Clarendon Square Limited </w:t>
      </w:r>
      <w:r w:rsidRPr="00DE3615">
        <w:t>as part of the recent sale of the Clarendon Centre redevelopment.</w:t>
      </w:r>
    </w:p>
    <w:p w14:paraId="179D49E8" w14:textId="4C14BEE9" w:rsidR="00586E67" w:rsidRPr="00DE3615" w:rsidRDefault="00586E67" w:rsidP="00990563">
      <w:pPr>
        <w:pStyle w:val="ListParagraph"/>
        <w:numPr>
          <w:ilvl w:val="0"/>
          <w:numId w:val="46"/>
        </w:numPr>
      </w:pPr>
      <w:r w:rsidRPr="00DE3615">
        <w:t>An options analysis was previously carried out at the end of last year in the lead up to the expiry of the lease to HSBC to understand best future use for the property. Due to the complicated nature of the split freehold, the substantial upper parts and the fact the property is listed, there was very limited potential for any regeneration or change of use of the building if HSBC were to vacate after the expiry in 2030, which is likely as we are aware they are seeking alternative premises. This is due to the capital expenditure required to convert the property into any alternative use being too high for the rental income OCC would receive, as well as the awkward nature of the freehold split likely to deter interest from parties.</w:t>
      </w:r>
    </w:p>
    <w:p w14:paraId="082915F0" w14:textId="36AB39A8" w:rsidR="00586E67" w:rsidRPr="00DE3615" w:rsidRDefault="001C0DD5" w:rsidP="00586E67">
      <w:pPr>
        <w:pStyle w:val="ListParagraph"/>
        <w:numPr>
          <w:ilvl w:val="0"/>
          <w:numId w:val="46"/>
        </w:numPr>
      </w:pPr>
      <w:r w:rsidRPr="00DE3615">
        <w:t xml:space="preserve">The new freeholder of the other portion of the property, </w:t>
      </w:r>
      <w:r w:rsidR="00DE3615" w:rsidRPr="00DE3615">
        <w:t>GP Clarendon Square Limited</w:t>
      </w:r>
      <w:r w:rsidRPr="00DE3615">
        <w:t xml:space="preserve">, has put forward an offer to purchase the Councils freehold interest. </w:t>
      </w:r>
      <w:r w:rsidR="00656D0A" w:rsidRPr="00DE3615">
        <w:t>Due to the outcome of the options analysis, we are recommending the Council accepts the offer and proceeds with the transfer of freehold title.</w:t>
      </w:r>
    </w:p>
    <w:p w14:paraId="058F9060" w14:textId="77777777" w:rsidR="00633578" w:rsidRPr="00C55247" w:rsidRDefault="006B2DE1" w:rsidP="002B6836">
      <w:pPr>
        <w:pStyle w:val="Heading1"/>
        <w:rPr>
          <w:rFonts w:cs="Arial"/>
          <w:color w:val="auto"/>
        </w:rPr>
      </w:pPr>
      <w:r w:rsidRPr="00C55247">
        <w:rPr>
          <w:rFonts w:cs="Arial"/>
          <w:color w:val="auto"/>
        </w:rPr>
        <w:t xml:space="preserve">Reasons for the decision </w:t>
      </w:r>
    </w:p>
    <w:p w14:paraId="573C4E81" w14:textId="377BF34E" w:rsidR="001C0DD5" w:rsidRDefault="00945ACF" w:rsidP="00AE1684">
      <w:pPr>
        <w:pStyle w:val="bParagraphtext"/>
        <w:rPr>
          <w:rFonts w:cs="Arial"/>
          <w:color w:val="auto"/>
        </w:rPr>
      </w:pPr>
      <w:r>
        <w:rPr>
          <w:rFonts w:cs="Arial"/>
          <w:color w:val="auto"/>
        </w:rPr>
        <w:t xml:space="preserve">The decision provides the Council with a capital receipt </w:t>
      </w:r>
      <w:r w:rsidR="001E3434">
        <w:rPr>
          <w:rFonts w:cs="Arial"/>
          <w:color w:val="auto"/>
        </w:rPr>
        <w:t xml:space="preserve">for a property that would otherwise have restricted options in the future. </w:t>
      </w:r>
    </w:p>
    <w:p w14:paraId="5AEF56FC" w14:textId="37B29B8E" w:rsidR="00833308" w:rsidRDefault="00833308" w:rsidP="00AE1684">
      <w:pPr>
        <w:pStyle w:val="bParagraphtext"/>
        <w:rPr>
          <w:rFonts w:cs="Arial"/>
          <w:color w:val="auto"/>
        </w:rPr>
      </w:pPr>
      <w:r>
        <w:rPr>
          <w:rFonts w:cs="Arial"/>
          <w:color w:val="auto"/>
        </w:rPr>
        <w:t xml:space="preserve">There are tight timescales for completion of the sale within 30 days, which, if not progressed, </w:t>
      </w:r>
      <w:r w:rsidR="006E419F">
        <w:rPr>
          <w:rFonts w:cs="Arial"/>
          <w:color w:val="auto"/>
        </w:rPr>
        <w:t>would leave the Council with a potential problematic property to manage in the future, with the possibility of high void costs and maintenance</w:t>
      </w:r>
      <w:r w:rsidR="00134275">
        <w:rPr>
          <w:rFonts w:cs="Arial"/>
          <w:color w:val="auto"/>
        </w:rPr>
        <w:t xml:space="preserve"> liabilities. </w:t>
      </w:r>
    </w:p>
    <w:p w14:paraId="052FBB38" w14:textId="499CEEC0" w:rsidR="006C7D2E" w:rsidRPr="00C55247" w:rsidRDefault="006C7D2E" w:rsidP="006C7D2E">
      <w:pPr>
        <w:pStyle w:val="Heading1"/>
        <w:rPr>
          <w:rFonts w:cs="Arial"/>
          <w:color w:val="auto"/>
        </w:rPr>
      </w:pPr>
      <w:r w:rsidRPr="00C55247">
        <w:rPr>
          <w:rFonts w:cs="Arial"/>
          <w:color w:val="auto"/>
        </w:rPr>
        <w:t xml:space="preserve">Alternative Options Considered </w:t>
      </w:r>
    </w:p>
    <w:p w14:paraId="6B285B88" w14:textId="4D91EADB" w:rsidR="006C7D2E" w:rsidRPr="00C55247" w:rsidRDefault="00134275" w:rsidP="007C1F3D">
      <w:pPr>
        <w:pStyle w:val="ListParagraph"/>
      </w:pPr>
      <w:r>
        <w:t>The alternative option is to not proceed with the sale</w:t>
      </w:r>
      <w:r w:rsidR="00643855">
        <w:t xml:space="preserve">. It is believed that an offer of this level would not be forthcoming from another purchaser due to the nature of the purchaser being </w:t>
      </w:r>
      <w:r w:rsidR="00115CB3">
        <w:t>a neighbouring freeholder</w:t>
      </w:r>
      <w:r w:rsidR="002D6B06">
        <w:t xml:space="preserve"> and viewed as a “special purchaser”.</w:t>
      </w:r>
    </w:p>
    <w:p w14:paraId="38125097" w14:textId="3B73CF16" w:rsidR="008F1BB4" w:rsidRPr="00C55247" w:rsidRDefault="008F1BB4" w:rsidP="001A1BA1">
      <w:pPr>
        <w:pStyle w:val="Heading1"/>
        <w:rPr>
          <w:rFonts w:cs="Arial"/>
          <w:color w:val="auto"/>
        </w:rPr>
      </w:pPr>
      <w:r w:rsidRPr="00C55247">
        <w:rPr>
          <w:rFonts w:cs="Arial"/>
          <w:color w:val="auto"/>
        </w:rPr>
        <w:t xml:space="preserve">Equalities Impact </w:t>
      </w:r>
    </w:p>
    <w:p w14:paraId="6F96DD50" w14:textId="77777777" w:rsidR="00F8053E" w:rsidRDefault="00F8053E" w:rsidP="00F8053E">
      <w:pPr>
        <w:pStyle w:val="ListParagraph"/>
      </w:pPr>
      <w:r>
        <w:t xml:space="preserve">The financial benefit to the city council will help provide services, notably those in line with the council’s ambition to create a more equal city. </w:t>
      </w:r>
    </w:p>
    <w:p w14:paraId="09B52F31" w14:textId="19DCD851" w:rsidR="00F8053E" w:rsidRDefault="00F8053E" w:rsidP="00F8053E">
      <w:pPr>
        <w:pStyle w:val="ListParagraph"/>
        <w:numPr>
          <w:ilvl w:val="0"/>
          <w:numId w:val="0"/>
        </w:numPr>
        <w:ind w:left="426"/>
      </w:pPr>
      <w:r>
        <w:t xml:space="preserve">The sale of the freehold does not give rise to any direct equalities issues. Therefore, an equalities impact assessment is not necessary. </w:t>
      </w:r>
    </w:p>
    <w:p w14:paraId="7AED9DA2" w14:textId="77E21A27" w:rsidR="009E68E0" w:rsidRPr="00C55247" w:rsidRDefault="009E68E0" w:rsidP="001A1BA1">
      <w:pPr>
        <w:pStyle w:val="Heading1"/>
        <w:rPr>
          <w:rFonts w:cs="Arial"/>
          <w:color w:val="auto"/>
        </w:rPr>
      </w:pPr>
      <w:r w:rsidRPr="00C55247">
        <w:rPr>
          <w:rFonts w:cs="Arial"/>
          <w:color w:val="auto"/>
        </w:rPr>
        <w:lastRenderedPageBreak/>
        <w:t xml:space="preserve">Risks </w:t>
      </w:r>
    </w:p>
    <w:p w14:paraId="1585D049" w14:textId="5AC18A63" w:rsidR="009E68E0" w:rsidRPr="00C55247" w:rsidRDefault="009E68E0" w:rsidP="009E68E0">
      <w:pPr>
        <w:pStyle w:val="ListParagraph"/>
        <w:rPr>
          <w:color w:val="auto"/>
        </w:rPr>
      </w:pPr>
      <w:r w:rsidRPr="00C55247">
        <w:rPr>
          <w:color w:val="auto"/>
        </w:rPr>
        <w:t xml:space="preserve">Here outline the relevant risks and how they have been considered/mitigated/addressed. Attach your risk register as an appendix. </w:t>
      </w:r>
    </w:p>
    <w:p w14:paraId="6A43684D" w14:textId="77777777" w:rsidR="00630829" w:rsidRPr="00C55247" w:rsidRDefault="00630829" w:rsidP="00630829">
      <w:pPr>
        <w:pStyle w:val="bParagraphtext"/>
        <w:numPr>
          <w:ilvl w:val="0"/>
          <w:numId w:val="0"/>
        </w:numPr>
        <w:rPr>
          <w:color w:val="auto"/>
        </w:rPr>
      </w:pPr>
      <w:r w:rsidRPr="00C55247">
        <w:rPr>
          <w:b/>
          <w:color w:val="auto"/>
        </w:rPr>
        <w:t xml:space="preserve">Carbon and Environmental Considerations </w:t>
      </w:r>
    </w:p>
    <w:p w14:paraId="370548E2" w14:textId="3EA78C59" w:rsidR="00630829" w:rsidRPr="00C55247" w:rsidRDefault="002C0EC5" w:rsidP="00630829">
      <w:pPr>
        <w:pStyle w:val="bParagraphtext"/>
        <w:rPr>
          <w:color w:val="auto"/>
        </w:rPr>
      </w:pPr>
      <w:r>
        <w:rPr>
          <w:color w:val="auto"/>
        </w:rPr>
        <w:t>T</w:t>
      </w:r>
      <w:r w:rsidRPr="00763720">
        <w:t>his report does not give rise to any direct carbon or environmental considerations.</w:t>
      </w:r>
    </w:p>
    <w:p w14:paraId="2454F4E3" w14:textId="77777777" w:rsidR="00630829" w:rsidRDefault="00630829" w:rsidP="00630829">
      <w:pPr>
        <w:pStyle w:val="ListParagraph"/>
        <w:numPr>
          <w:ilvl w:val="0"/>
          <w:numId w:val="0"/>
        </w:numPr>
        <w:ind w:left="426"/>
      </w:pPr>
    </w:p>
    <w:p w14:paraId="4282B049" w14:textId="08C55620" w:rsidR="00E87F7A" w:rsidRPr="003E4C33" w:rsidRDefault="001A1BA1" w:rsidP="001A1BA1">
      <w:pPr>
        <w:pStyle w:val="Heading1"/>
        <w:rPr>
          <w:rFonts w:cs="Arial"/>
        </w:rPr>
      </w:pPr>
      <w:r w:rsidRPr="003E4C33">
        <w:rPr>
          <w:rFonts w:cs="Arial"/>
        </w:rPr>
        <w:t>I</w:t>
      </w:r>
      <w:r w:rsidR="00E87F7A" w:rsidRPr="003E4C33">
        <w:rPr>
          <w:rFonts w:cs="Arial"/>
        </w:rPr>
        <w:t xml:space="preserve">mplications </w:t>
      </w:r>
      <w:r w:rsidR="67763C94" w:rsidRPr="003E4C33">
        <w:rPr>
          <w:rFonts w:cs="Arial"/>
        </w:rPr>
        <w:t>of making the decision</w:t>
      </w:r>
      <w:r w:rsidR="00E87F7A" w:rsidRPr="003E4C33">
        <w:rPr>
          <w:rFonts w:cs="Arial"/>
        </w:rPr>
        <w:t xml:space="preserve"> </w:t>
      </w:r>
    </w:p>
    <w:tbl>
      <w:tblPr>
        <w:tblStyle w:val="TableGrid"/>
        <w:tblW w:w="0" w:type="auto"/>
        <w:tblLook w:val="04A0" w:firstRow="1" w:lastRow="0" w:firstColumn="1" w:lastColumn="0" w:noHBand="0" w:noVBand="1"/>
      </w:tblPr>
      <w:tblGrid>
        <w:gridCol w:w="1883"/>
        <w:gridCol w:w="4379"/>
        <w:gridCol w:w="3026"/>
      </w:tblGrid>
      <w:tr w:rsidR="00372A82" w:rsidRPr="003E4C33" w14:paraId="44F594ED" w14:textId="77777777" w:rsidTr="00BD1F7A">
        <w:tc>
          <w:tcPr>
            <w:tcW w:w="1883" w:type="dxa"/>
          </w:tcPr>
          <w:p w14:paraId="2AB1A861" w14:textId="77777777" w:rsidR="00372A82" w:rsidRPr="003E4C33" w:rsidRDefault="00372A82" w:rsidP="00C076B9">
            <w:pPr>
              <w:pStyle w:val="Bulletpoints"/>
              <w:numPr>
                <w:ilvl w:val="0"/>
                <w:numId w:val="0"/>
              </w:numPr>
              <w:rPr>
                <w:rFonts w:cs="Arial"/>
                <w:b/>
              </w:rPr>
            </w:pPr>
            <w:r w:rsidRPr="003E4C33">
              <w:rPr>
                <w:rFonts w:cs="Arial"/>
                <w:b/>
              </w:rPr>
              <w:t>Financial implications</w:t>
            </w:r>
          </w:p>
        </w:tc>
        <w:tc>
          <w:tcPr>
            <w:tcW w:w="4379" w:type="dxa"/>
          </w:tcPr>
          <w:p w14:paraId="0696855A" w14:textId="0FAB0726" w:rsidR="00372A82" w:rsidRPr="00635391" w:rsidRDefault="006765E8" w:rsidP="00CB7A4F">
            <w:pPr>
              <w:rPr>
                <w:rFonts w:cs="Arial"/>
              </w:rPr>
            </w:pPr>
            <w:r>
              <w:rPr>
                <w:rStyle w:val="bParagraphtextChar"/>
                <w:rFonts w:cs="Arial"/>
                <w:color w:val="auto"/>
              </w:rPr>
              <w:t>P</w:t>
            </w:r>
            <w:r>
              <w:rPr>
                <w:rStyle w:val="bParagraphtextChar"/>
                <w:rFonts w:cs="Arial"/>
              </w:rPr>
              <w:t>lease see Exempt Appendix – Sale terms and financial implications.</w:t>
            </w:r>
            <w:r w:rsidR="00CB7A4F" w:rsidRPr="00C55247">
              <w:rPr>
                <w:rStyle w:val="bParagraphtextChar"/>
                <w:rFonts w:cs="Arial"/>
                <w:color w:val="auto"/>
              </w:rPr>
              <w:t xml:space="preserve"> </w:t>
            </w:r>
          </w:p>
        </w:tc>
        <w:tc>
          <w:tcPr>
            <w:tcW w:w="3026" w:type="dxa"/>
          </w:tcPr>
          <w:p w14:paraId="57868ECF" w14:textId="77777777" w:rsidR="00372A82" w:rsidRPr="00C55247" w:rsidRDefault="001A1BA1" w:rsidP="00C076B9">
            <w:pPr>
              <w:pStyle w:val="Bulletpoints"/>
              <w:numPr>
                <w:ilvl w:val="0"/>
                <w:numId w:val="0"/>
              </w:numPr>
              <w:rPr>
                <w:rFonts w:cs="Arial"/>
                <w:b/>
                <w:color w:val="auto"/>
              </w:rPr>
            </w:pPr>
            <w:r w:rsidRPr="00C55247">
              <w:rPr>
                <w:rFonts w:cs="Arial"/>
                <w:b/>
                <w:color w:val="auto"/>
              </w:rPr>
              <w:t>Completed by:</w:t>
            </w:r>
          </w:p>
          <w:p w14:paraId="60216F1E" w14:textId="2011BDDF" w:rsidR="001A1BA1" w:rsidRPr="00C55247" w:rsidRDefault="00DE5C1F" w:rsidP="00C076B9">
            <w:pPr>
              <w:pStyle w:val="Bulletpoints"/>
              <w:numPr>
                <w:ilvl w:val="0"/>
                <w:numId w:val="0"/>
              </w:numPr>
              <w:rPr>
                <w:rFonts w:cs="Arial"/>
                <w:color w:val="auto"/>
              </w:rPr>
            </w:pPr>
            <w:r>
              <w:rPr>
                <w:rFonts w:cs="Arial"/>
                <w:color w:val="auto"/>
              </w:rPr>
              <w:t xml:space="preserve">Nigel Kennedy, </w:t>
            </w:r>
            <w:r w:rsidR="00526E5C">
              <w:rPr>
                <w:rFonts w:cs="Arial"/>
                <w:color w:val="auto"/>
              </w:rPr>
              <w:t>Group Finance Director</w:t>
            </w:r>
          </w:p>
          <w:p w14:paraId="7DB0BC85" w14:textId="77777777" w:rsidR="001A1BA1" w:rsidRPr="00C55247" w:rsidRDefault="001A1BA1" w:rsidP="00C076B9">
            <w:pPr>
              <w:pStyle w:val="Bulletpoints"/>
              <w:numPr>
                <w:ilvl w:val="0"/>
                <w:numId w:val="0"/>
              </w:numPr>
              <w:rPr>
                <w:rFonts w:cs="Arial"/>
                <w:b/>
                <w:color w:val="auto"/>
              </w:rPr>
            </w:pPr>
            <w:r w:rsidRPr="00C55247">
              <w:rPr>
                <w:rFonts w:cs="Arial"/>
                <w:b/>
                <w:color w:val="auto"/>
              </w:rPr>
              <w:t>Date:</w:t>
            </w:r>
          </w:p>
          <w:p w14:paraId="003D265E" w14:textId="5BEAA7A8" w:rsidR="001A1BA1" w:rsidRPr="00C55247" w:rsidRDefault="00526E5C" w:rsidP="00C076B9">
            <w:pPr>
              <w:pStyle w:val="Bulletpoints"/>
              <w:numPr>
                <w:ilvl w:val="0"/>
                <w:numId w:val="0"/>
              </w:numPr>
              <w:rPr>
                <w:rFonts w:cs="Arial"/>
                <w:color w:val="auto"/>
              </w:rPr>
            </w:pPr>
            <w:r>
              <w:rPr>
                <w:rFonts w:cs="Arial"/>
                <w:color w:val="auto"/>
              </w:rPr>
              <w:t>25/04/2025</w:t>
            </w:r>
          </w:p>
        </w:tc>
      </w:tr>
      <w:tr w:rsidR="004C71AB" w:rsidRPr="003E4C33" w14:paraId="7D8DECFB" w14:textId="77777777" w:rsidTr="00BD1F7A">
        <w:tc>
          <w:tcPr>
            <w:tcW w:w="1883" w:type="dxa"/>
          </w:tcPr>
          <w:p w14:paraId="1C5F2B75" w14:textId="41184D8E" w:rsidR="004C71AB" w:rsidRPr="003E4C33" w:rsidRDefault="004C71AB" w:rsidP="004C71AB">
            <w:pPr>
              <w:pStyle w:val="Bulletpoints"/>
              <w:numPr>
                <w:ilvl w:val="0"/>
                <w:numId w:val="0"/>
              </w:numPr>
              <w:rPr>
                <w:rFonts w:cs="Arial"/>
                <w:b/>
              </w:rPr>
            </w:pPr>
            <w:r w:rsidRPr="003E4C33">
              <w:rPr>
                <w:rFonts w:cs="Arial"/>
                <w:b/>
              </w:rPr>
              <w:t xml:space="preserve">Legal implications </w:t>
            </w:r>
          </w:p>
        </w:tc>
        <w:tc>
          <w:tcPr>
            <w:tcW w:w="4379" w:type="dxa"/>
          </w:tcPr>
          <w:p w14:paraId="0476BA62" w14:textId="77777777" w:rsidR="004C71AB" w:rsidRPr="00C55247" w:rsidRDefault="004C71AB" w:rsidP="004C71AB">
            <w:pPr>
              <w:spacing w:line="259" w:lineRule="auto"/>
              <w:rPr>
                <w:rFonts w:cs="Arial"/>
                <w:color w:val="auto"/>
              </w:rPr>
            </w:pPr>
            <w:r w:rsidRPr="687ACA0D">
              <w:rPr>
                <w:rFonts w:cs="Arial"/>
                <w:color w:val="auto"/>
              </w:rPr>
              <w:t xml:space="preserve">The terms of the sale have been reviewed by the legal department.  It is considered that the terms protect the Council’s position and are in line with the Council’s obligations in s123 Local Government Act 1972. </w:t>
            </w:r>
          </w:p>
          <w:p w14:paraId="11BAD199" w14:textId="59D8E172" w:rsidR="004C71AB" w:rsidRPr="00C55247" w:rsidRDefault="004C71AB" w:rsidP="004C71AB">
            <w:pPr>
              <w:rPr>
                <w:rFonts w:cs="Arial"/>
                <w:color w:val="auto"/>
              </w:rPr>
            </w:pPr>
            <w:r w:rsidRPr="687ACA0D">
              <w:rPr>
                <w:rFonts w:cs="Arial"/>
                <w:color w:val="auto"/>
              </w:rPr>
              <w:t>This decision has been taken in consultation with the Director of Law, Governance and Strategy</w:t>
            </w:r>
          </w:p>
        </w:tc>
        <w:tc>
          <w:tcPr>
            <w:tcW w:w="3026" w:type="dxa"/>
          </w:tcPr>
          <w:p w14:paraId="6FF85E38" w14:textId="77777777" w:rsidR="004C71AB" w:rsidRPr="00C55247" w:rsidRDefault="004C71AB" w:rsidP="004C71AB">
            <w:pPr>
              <w:pStyle w:val="Bulletpoints"/>
              <w:numPr>
                <w:ilvl w:val="0"/>
                <w:numId w:val="0"/>
              </w:numPr>
              <w:rPr>
                <w:rFonts w:cs="Arial"/>
                <w:b/>
                <w:color w:val="auto"/>
              </w:rPr>
            </w:pPr>
            <w:r w:rsidRPr="00C55247">
              <w:rPr>
                <w:rFonts w:cs="Arial"/>
                <w:b/>
                <w:color w:val="auto"/>
              </w:rPr>
              <w:t>Completed by:</w:t>
            </w:r>
          </w:p>
          <w:p w14:paraId="26438FF1" w14:textId="77777777" w:rsidR="004C71AB" w:rsidRPr="00C55247" w:rsidRDefault="004C71AB" w:rsidP="004C71AB">
            <w:pPr>
              <w:pStyle w:val="Bulletpoints"/>
              <w:numPr>
                <w:ilvl w:val="0"/>
                <w:numId w:val="0"/>
              </w:numPr>
              <w:rPr>
                <w:rFonts w:cs="Arial"/>
                <w:color w:val="auto"/>
              </w:rPr>
            </w:pPr>
            <w:r w:rsidRPr="687ACA0D">
              <w:rPr>
                <w:rFonts w:cs="Arial"/>
                <w:color w:val="auto"/>
              </w:rPr>
              <w:t>Kathleen Fraser – Locum Commercial Property Solicitor</w:t>
            </w:r>
          </w:p>
          <w:p w14:paraId="08F5E54C" w14:textId="77777777" w:rsidR="004C71AB" w:rsidRPr="00C55247" w:rsidRDefault="004C71AB" w:rsidP="004C71AB">
            <w:pPr>
              <w:pStyle w:val="Bulletpoints"/>
              <w:numPr>
                <w:ilvl w:val="0"/>
                <w:numId w:val="0"/>
              </w:numPr>
              <w:rPr>
                <w:rFonts w:cs="Arial"/>
                <w:b/>
                <w:color w:val="auto"/>
              </w:rPr>
            </w:pPr>
            <w:r w:rsidRPr="687ACA0D">
              <w:rPr>
                <w:rFonts w:cs="Arial"/>
                <w:b/>
                <w:bCs/>
                <w:color w:val="auto"/>
              </w:rPr>
              <w:t>Date:</w:t>
            </w:r>
          </w:p>
          <w:p w14:paraId="7A5DDA55" w14:textId="52A3D995" w:rsidR="004C71AB" w:rsidRPr="00C55247" w:rsidRDefault="004C71AB" w:rsidP="004C71AB">
            <w:pPr>
              <w:pStyle w:val="Bulletpoints"/>
              <w:numPr>
                <w:ilvl w:val="0"/>
                <w:numId w:val="0"/>
              </w:numPr>
              <w:rPr>
                <w:rFonts w:cs="Arial"/>
                <w:color w:val="auto"/>
              </w:rPr>
            </w:pPr>
            <w:r w:rsidRPr="687ACA0D">
              <w:rPr>
                <w:rFonts w:cs="Arial"/>
                <w:color w:val="auto"/>
              </w:rPr>
              <w:t>30</w:t>
            </w:r>
            <w:r>
              <w:rPr>
                <w:rFonts w:cs="Arial"/>
                <w:color w:val="auto"/>
              </w:rPr>
              <w:t>/04/2025</w:t>
            </w:r>
          </w:p>
        </w:tc>
      </w:tr>
      <w:tr w:rsidR="001A1BA1" w:rsidRPr="003E4C33" w14:paraId="6F38FEBF" w14:textId="77777777" w:rsidTr="00BD1F7A">
        <w:tc>
          <w:tcPr>
            <w:tcW w:w="1883" w:type="dxa"/>
          </w:tcPr>
          <w:p w14:paraId="48C94DFF" w14:textId="77777777" w:rsidR="001A1BA1" w:rsidRPr="003E4C33" w:rsidRDefault="001A1BA1" w:rsidP="00C076B9">
            <w:pPr>
              <w:pStyle w:val="Bulletpoints"/>
              <w:numPr>
                <w:ilvl w:val="0"/>
                <w:numId w:val="0"/>
              </w:numPr>
              <w:rPr>
                <w:rFonts w:cs="Arial"/>
                <w:b/>
              </w:rPr>
            </w:pPr>
            <w:r w:rsidRPr="003E4C33">
              <w:rPr>
                <w:rFonts w:cs="Arial"/>
                <w:b/>
              </w:rPr>
              <w:t>Other implications</w:t>
            </w:r>
          </w:p>
        </w:tc>
        <w:tc>
          <w:tcPr>
            <w:tcW w:w="4379" w:type="dxa"/>
          </w:tcPr>
          <w:p w14:paraId="6DC2105E" w14:textId="3A67A012" w:rsidR="00CB7A4F" w:rsidRPr="00C55247" w:rsidRDefault="00E40E4D" w:rsidP="00372A82">
            <w:pPr>
              <w:pStyle w:val="bParagraphtext"/>
              <w:numPr>
                <w:ilvl w:val="0"/>
                <w:numId w:val="0"/>
              </w:numPr>
              <w:rPr>
                <w:rFonts w:cs="Arial"/>
                <w:color w:val="auto"/>
              </w:rPr>
            </w:pPr>
            <w:r>
              <w:rPr>
                <w:rStyle w:val="bParagraphtextChar"/>
                <w:rFonts w:cs="Arial"/>
                <w:color w:val="auto"/>
              </w:rPr>
              <w:t>P</w:t>
            </w:r>
            <w:r>
              <w:rPr>
                <w:rStyle w:val="bParagraphtextChar"/>
                <w:rFonts w:cs="Arial"/>
              </w:rPr>
              <w:t>lease see Exempt Appendix – Sale terms and financial implications.</w:t>
            </w:r>
          </w:p>
        </w:tc>
        <w:tc>
          <w:tcPr>
            <w:tcW w:w="3026" w:type="dxa"/>
          </w:tcPr>
          <w:p w14:paraId="48FAD318" w14:textId="77777777" w:rsidR="001A1BA1" w:rsidRPr="00C55247" w:rsidRDefault="001A1BA1" w:rsidP="001A1BA1">
            <w:pPr>
              <w:pStyle w:val="Bulletpoints"/>
              <w:numPr>
                <w:ilvl w:val="0"/>
                <w:numId w:val="0"/>
              </w:numPr>
              <w:rPr>
                <w:rFonts w:cs="Arial"/>
                <w:b/>
                <w:color w:val="auto"/>
              </w:rPr>
            </w:pPr>
            <w:r w:rsidRPr="00C55247">
              <w:rPr>
                <w:rFonts w:cs="Arial"/>
                <w:b/>
                <w:color w:val="auto"/>
              </w:rPr>
              <w:t>Completed by:</w:t>
            </w:r>
          </w:p>
          <w:p w14:paraId="59811DC1" w14:textId="5A243C04" w:rsidR="001A1BA1" w:rsidRPr="00C55247" w:rsidRDefault="00E40E4D" w:rsidP="001A1BA1">
            <w:pPr>
              <w:pStyle w:val="Bulletpoints"/>
              <w:numPr>
                <w:ilvl w:val="0"/>
                <w:numId w:val="0"/>
              </w:numPr>
              <w:rPr>
                <w:rFonts w:cs="Arial"/>
                <w:color w:val="auto"/>
              </w:rPr>
            </w:pPr>
            <w:r>
              <w:rPr>
                <w:rFonts w:cs="Arial"/>
                <w:color w:val="auto"/>
              </w:rPr>
              <w:t>Kate Protheroe, Asset Manager</w:t>
            </w:r>
          </w:p>
          <w:p w14:paraId="495F4D61" w14:textId="77777777" w:rsidR="001A1BA1" w:rsidRPr="00C55247" w:rsidRDefault="001A1BA1" w:rsidP="001A1BA1">
            <w:pPr>
              <w:pStyle w:val="Bulletpoints"/>
              <w:numPr>
                <w:ilvl w:val="0"/>
                <w:numId w:val="0"/>
              </w:numPr>
              <w:rPr>
                <w:rFonts w:cs="Arial"/>
                <w:b/>
                <w:color w:val="auto"/>
              </w:rPr>
            </w:pPr>
            <w:r w:rsidRPr="00C55247">
              <w:rPr>
                <w:rFonts w:cs="Arial"/>
                <w:b/>
                <w:color w:val="auto"/>
              </w:rPr>
              <w:t>Date:</w:t>
            </w:r>
          </w:p>
          <w:p w14:paraId="68285B07" w14:textId="1A6E8013" w:rsidR="001A1BA1" w:rsidRPr="00C55247" w:rsidRDefault="00E40E4D" w:rsidP="001A1BA1">
            <w:pPr>
              <w:pStyle w:val="Bulletpoints"/>
              <w:numPr>
                <w:ilvl w:val="0"/>
                <w:numId w:val="0"/>
              </w:numPr>
              <w:rPr>
                <w:rFonts w:cs="Arial"/>
                <w:color w:val="auto"/>
              </w:rPr>
            </w:pPr>
            <w:r>
              <w:rPr>
                <w:rFonts w:cs="Arial"/>
                <w:color w:val="auto"/>
              </w:rPr>
              <w:t>25/04/2025</w:t>
            </w:r>
          </w:p>
        </w:tc>
      </w:tr>
      <w:tr w:rsidR="007967CA" w:rsidRPr="003E4C33" w14:paraId="2C18B277" w14:textId="77777777" w:rsidTr="00BD1F7A">
        <w:tc>
          <w:tcPr>
            <w:tcW w:w="1883" w:type="dxa"/>
          </w:tcPr>
          <w:p w14:paraId="4EB49136" w14:textId="6AAF52DF" w:rsidR="007967CA" w:rsidRPr="003E4C33" w:rsidRDefault="007967CA" w:rsidP="00C076B9">
            <w:pPr>
              <w:pStyle w:val="Bulletpoints"/>
              <w:numPr>
                <w:ilvl w:val="0"/>
                <w:numId w:val="0"/>
              </w:numPr>
              <w:rPr>
                <w:rFonts w:cs="Arial"/>
                <w:b/>
              </w:rPr>
            </w:pPr>
            <w:r w:rsidRPr="003E4C33">
              <w:rPr>
                <w:rFonts w:cs="Arial"/>
                <w:b/>
              </w:rPr>
              <w:t xml:space="preserve">Member declared interests </w:t>
            </w:r>
          </w:p>
        </w:tc>
        <w:tc>
          <w:tcPr>
            <w:tcW w:w="4379" w:type="dxa"/>
          </w:tcPr>
          <w:p w14:paraId="0033AA4D" w14:textId="315A9EFE" w:rsidR="007967CA" w:rsidRPr="00C55247" w:rsidRDefault="00E40E4D" w:rsidP="00372A82">
            <w:pPr>
              <w:pStyle w:val="bParagraphtext"/>
              <w:numPr>
                <w:ilvl w:val="0"/>
                <w:numId w:val="0"/>
              </w:numPr>
              <w:rPr>
                <w:rFonts w:cs="Arial"/>
                <w:color w:val="auto"/>
              </w:rPr>
            </w:pPr>
            <w:r>
              <w:rPr>
                <w:rFonts w:cs="Arial"/>
                <w:color w:val="auto"/>
              </w:rPr>
              <w:t>None</w:t>
            </w:r>
          </w:p>
        </w:tc>
        <w:tc>
          <w:tcPr>
            <w:tcW w:w="3026" w:type="dxa"/>
          </w:tcPr>
          <w:p w14:paraId="7424BC62" w14:textId="77777777" w:rsidR="007967CA" w:rsidRPr="00C55247" w:rsidRDefault="007967CA" w:rsidP="007967CA">
            <w:pPr>
              <w:pStyle w:val="Bulletpoints"/>
              <w:numPr>
                <w:ilvl w:val="0"/>
                <w:numId w:val="0"/>
              </w:numPr>
              <w:rPr>
                <w:rFonts w:cs="Arial"/>
                <w:b/>
                <w:color w:val="auto"/>
              </w:rPr>
            </w:pPr>
            <w:r w:rsidRPr="00C55247">
              <w:rPr>
                <w:rFonts w:cs="Arial"/>
                <w:b/>
                <w:color w:val="auto"/>
              </w:rPr>
              <w:t>Completed by:</w:t>
            </w:r>
          </w:p>
          <w:p w14:paraId="405BF3DD" w14:textId="0A23A9EB" w:rsidR="007967CA" w:rsidRPr="00C55247" w:rsidRDefault="00E40E4D" w:rsidP="007967CA">
            <w:pPr>
              <w:pStyle w:val="Bulletpoints"/>
              <w:numPr>
                <w:ilvl w:val="0"/>
                <w:numId w:val="0"/>
              </w:numPr>
              <w:rPr>
                <w:rFonts w:cs="Arial"/>
                <w:color w:val="auto"/>
              </w:rPr>
            </w:pPr>
            <w:r>
              <w:rPr>
                <w:rFonts w:cs="Arial"/>
                <w:color w:val="auto"/>
              </w:rPr>
              <w:t>Kate Protheroe, Asset Manager</w:t>
            </w:r>
          </w:p>
          <w:p w14:paraId="22A72D4B" w14:textId="77777777" w:rsidR="007967CA" w:rsidRPr="00C55247" w:rsidRDefault="007967CA" w:rsidP="007967CA">
            <w:pPr>
              <w:pStyle w:val="Bulletpoints"/>
              <w:numPr>
                <w:ilvl w:val="0"/>
                <w:numId w:val="0"/>
              </w:numPr>
              <w:rPr>
                <w:rFonts w:cs="Arial"/>
                <w:b/>
                <w:color w:val="auto"/>
              </w:rPr>
            </w:pPr>
            <w:r w:rsidRPr="00C55247">
              <w:rPr>
                <w:rFonts w:cs="Arial"/>
                <w:b/>
                <w:color w:val="auto"/>
              </w:rPr>
              <w:t>Date:</w:t>
            </w:r>
          </w:p>
          <w:p w14:paraId="5918EBBE" w14:textId="04F64080" w:rsidR="007967CA" w:rsidRPr="00E40E4D" w:rsidRDefault="00E40E4D" w:rsidP="007967CA">
            <w:pPr>
              <w:pStyle w:val="Bulletpoints"/>
              <w:numPr>
                <w:ilvl w:val="0"/>
                <w:numId w:val="0"/>
              </w:numPr>
              <w:rPr>
                <w:rFonts w:cs="Arial"/>
                <w:bCs/>
                <w:color w:val="auto"/>
              </w:rPr>
            </w:pPr>
            <w:r>
              <w:rPr>
                <w:rFonts w:cs="Arial"/>
                <w:bCs/>
                <w:color w:val="auto"/>
              </w:rPr>
              <w:t>25/04/2025</w:t>
            </w:r>
          </w:p>
        </w:tc>
      </w:tr>
    </w:tbl>
    <w:p w14:paraId="7891D21B" w14:textId="78C294AB" w:rsidR="00FB3B71" w:rsidRPr="003E4C33" w:rsidRDefault="00FB3B71" w:rsidP="002D57D7">
      <w:pPr>
        <w:pStyle w:val="bParagraphtext"/>
        <w:numPr>
          <w:ilvl w:val="0"/>
          <w:numId w:val="0"/>
        </w:numPr>
        <w:rPr>
          <w:rFonts w:cs="Arial"/>
          <w:b/>
        </w:rPr>
      </w:pPr>
    </w:p>
    <w:p w14:paraId="5BCE4DEB" w14:textId="02514305" w:rsidR="006C767F" w:rsidRPr="003E4C33" w:rsidRDefault="006C767F" w:rsidP="002D57D7">
      <w:pPr>
        <w:pStyle w:val="bParagraphtext"/>
        <w:numPr>
          <w:ilvl w:val="0"/>
          <w:numId w:val="0"/>
        </w:numPr>
        <w:rPr>
          <w:rFonts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44"/>
      </w:tblGrid>
      <w:tr w:rsidR="006C767F" w:rsidRPr="003E4C33" w14:paraId="07218A10" w14:textId="77777777" w:rsidTr="6705CB2F">
        <w:tc>
          <w:tcPr>
            <w:tcW w:w="884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6521CA4" w14:textId="359272A3" w:rsidR="006C767F" w:rsidRPr="003E4C33" w:rsidRDefault="006C767F" w:rsidP="002D57D7">
            <w:pPr>
              <w:jc w:val="center"/>
              <w:rPr>
                <w:rFonts w:cs="Arial"/>
              </w:rPr>
            </w:pPr>
            <w:r w:rsidRPr="003E4C33">
              <w:rPr>
                <w:rStyle w:val="Firstpagetablebold"/>
                <w:rFonts w:cs="Arial"/>
              </w:rPr>
              <w:t xml:space="preserve">Background Documents </w:t>
            </w:r>
          </w:p>
        </w:tc>
      </w:tr>
      <w:tr w:rsidR="006C767F" w:rsidRPr="003E4C33" w14:paraId="269EBDEB" w14:textId="77777777" w:rsidTr="6705CB2F">
        <w:tc>
          <w:tcPr>
            <w:tcW w:w="884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8FD4075" w14:textId="63B48E80" w:rsidR="006C767F" w:rsidRPr="002070C7" w:rsidRDefault="002070C7" w:rsidP="12E744BB">
            <w:pPr>
              <w:rPr>
                <w:rFonts w:cs="Arial"/>
                <w:color w:val="auto"/>
              </w:rPr>
            </w:pPr>
            <w:r>
              <w:rPr>
                <w:rStyle w:val="Firstpagetablebold"/>
                <w:rFonts w:cs="Arial"/>
                <w:b w:val="0"/>
                <w:color w:val="auto"/>
              </w:rPr>
              <w:t>None</w:t>
            </w:r>
            <w:r w:rsidR="5832B0E0" w:rsidRPr="00C55247">
              <w:rPr>
                <w:rStyle w:val="Firstpagetablebold"/>
                <w:rFonts w:cs="Arial"/>
                <w:b w:val="0"/>
                <w:color w:val="auto"/>
              </w:rPr>
              <w:t xml:space="preserve"> </w:t>
            </w:r>
          </w:p>
        </w:tc>
      </w:tr>
    </w:tbl>
    <w:p w14:paraId="0D36453B" w14:textId="1874FC0C" w:rsidR="00FB3B71" w:rsidRPr="003E4C33" w:rsidRDefault="00FB3B71" w:rsidP="0033565F">
      <w:pPr>
        <w:pStyle w:val="bParagraphtext"/>
        <w:numPr>
          <w:ilvl w:val="0"/>
          <w:numId w:val="0"/>
        </w:numPr>
        <w:ind w:left="426"/>
        <w:rPr>
          <w:rFonts w:cs="Arial"/>
          <w:b/>
          <w:bCs/>
        </w:rPr>
      </w:pPr>
    </w:p>
    <w:tbl>
      <w:tblPr>
        <w:tblW w:w="0" w:type="auto"/>
        <w:tblInd w:w="108" w:type="dxa"/>
        <w:tblBorders>
          <w:top w:val="single" w:sz="4" w:space="0" w:color="C0504D"/>
          <w:left w:val="single" w:sz="4" w:space="0" w:color="C0504D"/>
          <w:bottom w:val="single" w:sz="4" w:space="0" w:color="C0504D"/>
          <w:right w:val="single" w:sz="4" w:space="0" w:color="C0504D"/>
        </w:tblBorders>
        <w:tblLook w:val="04A0" w:firstRow="1" w:lastRow="0" w:firstColumn="1" w:lastColumn="0" w:noHBand="0" w:noVBand="1"/>
      </w:tblPr>
      <w:tblGrid>
        <w:gridCol w:w="3969"/>
        <w:gridCol w:w="4962"/>
      </w:tblGrid>
      <w:tr w:rsidR="00DF093E" w:rsidRPr="003E4C33" w14:paraId="1F687E48" w14:textId="77777777" w:rsidTr="00A46E98">
        <w:trPr>
          <w:cantSplit/>
          <w:trHeight w:val="396"/>
        </w:trPr>
        <w:tc>
          <w:tcPr>
            <w:tcW w:w="3969" w:type="dxa"/>
            <w:tcBorders>
              <w:top w:val="single" w:sz="8" w:space="0" w:color="000000"/>
              <w:left w:val="single" w:sz="8" w:space="0" w:color="000000"/>
              <w:bottom w:val="single" w:sz="8" w:space="0" w:color="000000"/>
              <w:right w:val="nil"/>
            </w:tcBorders>
            <w:shd w:val="clear" w:color="auto" w:fill="auto"/>
          </w:tcPr>
          <w:p w14:paraId="760A9FCD" w14:textId="77777777" w:rsidR="00E87F7A" w:rsidRPr="003E4C33" w:rsidRDefault="00E87F7A" w:rsidP="00A46E98">
            <w:pPr>
              <w:rPr>
                <w:rFonts w:cs="Arial"/>
                <w:b/>
              </w:rPr>
            </w:pPr>
            <w:r w:rsidRPr="003E4C33">
              <w:rPr>
                <w:rFonts w:cs="Arial"/>
                <w:b/>
              </w:rPr>
              <w:lastRenderedPageBreak/>
              <w:t>Report author</w:t>
            </w:r>
          </w:p>
        </w:tc>
        <w:tc>
          <w:tcPr>
            <w:tcW w:w="4962" w:type="dxa"/>
            <w:tcBorders>
              <w:top w:val="single" w:sz="8" w:space="0" w:color="000000"/>
              <w:left w:val="nil"/>
              <w:bottom w:val="single" w:sz="8" w:space="0" w:color="000000"/>
              <w:right w:val="single" w:sz="8" w:space="0" w:color="000000"/>
            </w:tcBorders>
            <w:shd w:val="clear" w:color="auto" w:fill="auto"/>
          </w:tcPr>
          <w:p w14:paraId="10A18498" w14:textId="09DB2E0D" w:rsidR="00E87F7A" w:rsidRPr="003E4C33" w:rsidRDefault="00E40E4D" w:rsidP="00A46E98">
            <w:pPr>
              <w:rPr>
                <w:rFonts w:cs="Arial"/>
              </w:rPr>
            </w:pPr>
            <w:r>
              <w:rPr>
                <w:rFonts w:cs="Arial"/>
              </w:rPr>
              <w:t>Kate Protheroe</w:t>
            </w:r>
          </w:p>
        </w:tc>
      </w:tr>
      <w:tr w:rsidR="00DF093E" w:rsidRPr="003E4C33" w14:paraId="4C699F40" w14:textId="77777777" w:rsidTr="00A46E98">
        <w:trPr>
          <w:cantSplit/>
          <w:trHeight w:val="396"/>
        </w:trPr>
        <w:tc>
          <w:tcPr>
            <w:tcW w:w="3969" w:type="dxa"/>
            <w:tcBorders>
              <w:top w:val="single" w:sz="8" w:space="0" w:color="000000"/>
              <w:left w:val="single" w:sz="8" w:space="0" w:color="000000"/>
              <w:bottom w:val="nil"/>
              <w:right w:val="nil"/>
            </w:tcBorders>
            <w:shd w:val="clear" w:color="auto" w:fill="auto"/>
          </w:tcPr>
          <w:p w14:paraId="06C15971" w14:textId="77777777" w:rsidR="00E87F7A" w:rsidRPr="003E4C33" w:rsidRDefault="00E87F7A" w:rsidP="00A46E98">
            <w:pPr>
              <w:rPr>
                <w:rFonts w:cs="Arial"/>
              </w:rPr>
            </w:pPr>
            <w:r w:rsidRPr="003E4C33">
              <w:rPr>
                <w:rFonts w:cs="Arial"/>
              </w:rPr>
              <w:t>Job title</w:t>
            </w:r>
          </w:p>
        </w:tc>
        <w:tc>
          <w:tcPr>
            <w:tcW w:w="4962" w:type="dxa"/>
            <w:tcBorders>
              <w:top w:val="single" w:sz="8" w:space="0" w:color="000000"/>
              <w:left w:val="nil"/>
              <w:bottom w:val="nil"/>
              <w:right w:val="single" w:sz="8" w:space="0" w:color="000000"/>
            </w:tcBorders>
            <w:shd w:val="clear" w:color="auto" w:fill="auto"/>
          </w:tcPr>
          <w:p w14:paraId="4290E9E4" w14:textId="366470E6" w:rsidR="00E87F7A" w:rsidRPr="00C55247" w:rsidRDefault="00E40E4D" w:rsidP="00A46E98">
            <w:pPr>
              <w:rPr>
                <w:rFonts w:cs="Arial"/>
                <w:color w:val="auto"/>
              </w:rPr>
            </w:pPr>
            <w:r>
              <w:rPr>
                <w:rFonts w:cs="Arial"/>
                <w:color w:val="auto"/>
              </w:rPr>
              <w:t>Asset Manager</w:t>
            </w:r>
          </w:p>
        </w:tc>
      </w:tr>
      <w:tr w:rsidR="00DF093E" w:rsidRPr="003E4C33" w14:paraId="724C97C1" w14:textId="77777777" w:rsidTr="00A46E98">
        <w:trPr>
          <w:cantSplit/>
          <w:trHeight w:val="396"/>
        </w:trPr>
        <w:tc>
          <w:tcPr>
            <w:tcW w:w="3969" w:type="dxa"/>
            <w:tcBorders>
              <w:top w:val="nil"/>
              <w:left w:val="single" w:sz="8" w:space="0" w:color="000000"/>
              <w:bottom w:val="nil"/>
              <w:right w:val="nil"/>
            </w:tcBorders>
            <w:shd w:val="clear" w:color="auto" w:fill="auto"/>
          </w:tcPr>
          <w:p w14:paraId="0B0F48C6" w14:textId="77777777" w:rsidR="00E87F7A" w:rsidRPr="003E4C33" w:rsidRDefault="00E87F7A" w:rsidP="00A46E98">
            <w:pPr>
              <w:rPr>
                <w:rFonts w:cs="Arial"/>
              </w:rPr>
            </w:pPr>
            <w:r w:rsidRPr="003E4C33">
              <w:rPr>
                <w:rFonts w:cs="Arial"/>
              </w:rPr>
              <w:t>Service area or department</w:t>
            </w:r>
          </w:p>
        </w:tc>
        <w:tc>
          <w:tcPr>
            <w:tcW w:w="4962" w:type="dxa"/>
            <w:tcBorders>
              <w:top w:val="nil"/>
              <w:left w:val="nil"/>
              <w:bottom w:val="nil"/>
              <w:right w:val="single" w:sz="8" w:space="0" w:color="000000"/>
            </w:tcBorders>
            <w:shd w:val="clear" w:color="auto" w:fill="auto"/>
          </w:tcPr>
          <w:p w14:paraId="64678455" w14:textId="306B3315" w:rsidR="00E87F7A" w:rsidRPr="00C55247" w:rsidRDefault="00E40E4D" w:rsidP="00A46E98">
            <w:pPr>
              <w:rPr>
                <w:rFonts w:cs="Arial"/>
                <w:color w:val="auto"/>
              </w:rPr>
            </w:pPr>
            <w:r>
              <w:rPr>
                <w:rFonts w:cs="Arial"/>
                <w:color w:val="auto"/>
              </w:rPr>
              <w:t>Corporate Property</w:t>
            </w:r>
          </w:p>
        </w:tc>
      </w:tr>
      <w:tr w:rsidR="005570B5" w:rsidRPr="003E4C33" w14:paraId="1192348E" w14:textId="77777777" w:rsidTr="008A34D3">
        <w:trPr>
          <w:cantSplit/>
          <w:trHeight w:val="60"/>
        </w:trPr>
        <w:tc>
          <w:tcPr>
            <w:tcW w:w="3969" w:type="dxa"/>
            <w:tcBorders>
              <w:top w:val="nil"/>
              <w:left w:val="single" w:sz="8" w:space="0" w:color="000000"/>
              <w:bottom w:val="single" w:sz="8" w:space="0" w:color="000000"/>
              <w:right w:val="nil"/>
            </w:tcBorders>
            <w:shd w:val="clear" w:color="auto" w:fill="auto"/>
          </w:tcPr>
          <w:p w14:paraId="7F66B002" w14:textId="7006D39A" w:rsidR="00E87F7A" w:rsidRPr="003E4C33" w:rsidRDefault="00005CE3" w:rsidP="00A46E98">
            <w:pPr>
              <w:rPr>
                <w:rFonts w:cs="Arial"/>
              </w:rPr>
            </w:pPr>
            <w:r w:rsidRPr="003E4C33">
              <w:rPr>
                <w:rFonts w:cs="Arial"/>
              </w:rPr>
              <w:t xml:space="preserve">Email contact </w:t>
            </w:r>
          </w:p>
        </w:tc>
        <w:tc>
          <w:tcPr>
            <w:tcW w:w="4962" w:type="dxa"/>
            <w:tcBorders>
              <w:top w:val="nil"/>
              <w:left w:val="nil"/>
              <w:bottom w:val="single" w:sz="8" w:space="0" w:color="000000"/>
              <w:right w:val="single" w:sz="8" w:space="0" w:color="000000"/>
            </w:tcBorders>
            <w:shd w:val="clear" w:color="auto" w:fill="auto"/>
          </w:tcPr>
          <w:p w14:paraId="217B4852" w14:textId="42FC1D2E" w:rsidR="00E87F7A" w:rsidRPr="00C55247" w:rsidRDefault="00000000" w:rsidP="00A46E98">
            <w:pPr>
              <w:rPr>
                <w:rStyle w:val="Hyperlink"/>
                <w:rFonts w:cs="Arial"/>
                <w:color w:val="auto"/>
              </w:rPr>
            </w:pPr>
            <w:hyperlink r:id="rId11" w:history="1">
              <w:r w:rsidR="001B065A" w:rsidRPr="00DF35F7">
                <w:rPr>
                  <w:rStyle w:val="Hyperlink"/>
                </w:rPr>
                <w:t>kprotheroe@oxford.gov.uk</w:t>
              </w:r>
            </w:hyperlink>
            <w:r w:rsidR="001B065A">
              <w:t xml:space="preserve"> </w:t>
            </w:r>
          </w:p>
        </w:tc>
      </w:tr>
    </w:tbl>
    <w:p w14:paraId="30F6D8FE" w14:textId="77777777" w:rsidR="00433B96" w:rsidRPr="003E4C33" w:rsidRDefault="00433B96" w:rsidP="004A6D2F">
      <w:pPr>
        <w:rPr>
          <w:rFonts w:cs="Arial"/>
        </w:rPr>
      </w:pPr>
    </w:p>
    <w:p w14:paraId="4A373021" w14:textId="67E244B4" w:rsidR="001A1BA1" w:rsidRPr="003E4C33" w:rsidRDefault="001A1BA1" w:rsidP="0BC4DFF5">
      <w:pPr>
        <w:rPr>
          <w:rFonts w:cs="Arial"/>
          <w:b/>
          <w:bCs/>
        </w:rPr>
      </w:pPr>
      <w:r w:rsidRPr="003E4C33">
        <w:rPr>
          <w:rFonts w:cs="Arial"/>
          <w:b/>
          <w:bCs/>
        </w:rPr>
        <w:t>Consultee checklist</w:t>
      </w:r>
      <w:r w:rsidR="00C059B9">
        <w:rPr>
          <w:rFonts w:cs="Arial"/>
          <w:b/>
          <w:bCs/>
        </w:rPr>
        <w:t xml:space="preserve"> </w:t>
      </w:r>
    </w:p>
    <w:tbl>
      <w:tblPr>
        <w:tblStyle w:val="TableGrid1"/>
        <w:tblW w:w="9072" w:type="dxa"/>
        <w:tblInd w:w="-5" w:type="dxa"/>
        <w:tblLook w:val="04A0" w:firstRow="1" w:lastRow="0" w:firstColumn="1" w:lastColumn="0" w:noHBand="0" w:noVBand="1"/>
      </w:tblPr>
      <w:tblGrid>
        <w:gridCol w:w="3119"/>
        <w:gridCol w:w="4535"/>
        <w:gridCol w:w="1418"/>
      </w:tblGrid>
      <w:tr w:rsidR="001A1BA1" w:rsidRPr="003E4C33" w14:paraId="55292CC4" w14:textId="77777777" w:rsidTr="6D15E740">
        <w:trPr>
          <w:trHeight w:val="516"/>
        </w:trPr>
        <w:tc>
          <w:tcPr>
            <w:tcW w:w="3119" w:type="dxa"/>
          </w:tcPr>
          <w:p w14:paraId="423E2C51" w14:textId="77777777" w:rsidR="001A1BA1" w:rsidRPr="003E4C33" w:rsidRDefault="001A1BA1" w:rsidP="002D57D7">
            <w:pPr>
              <w:spacing w:before="120"/>
              <w:rPr>
                <w:b/>
                <w:i/>
              </w:rPr>
            </w:pPr>
            <w:r w:rsidRPr="003E4C33">
              <w:rPr>
                <w:b/>
                <w:i/>
              </w:rPr>
              <w:t>Consultees</w:t>
            </w:r>
          </w:p>
        </w:tc>
        <w:tc>
          <w:tcPr>
            <w:tcW w:w="4536" w:type="dxa"/>
            <w:vAlign w:val="center"/>
          </w:tcPr>
          <w:p w14:paraId="66370075" w14:textId="77777777" w:rsidR="001A1BA1" w:rsidRPr="003E4C33" w:rsidRDefault="001A1BA1" w:rsidP="002D57D7">
            <w:pPr>
              <w:rPr>
                <w:b/>
                <w:i/>
              </w:rPr>
            </w:pPr>
            <w:r w:rsidRPr="003E4C33">
              <w:rPr>
                <w:b/>
                <w:i/>
              </w:rPr>
              <w:t>Name and job title</w:t>
            </w:r>
          </w:p>
        </w:tc>
        <w:tc>
          <w:tcPr>
            <w:tcW w:w="1417" w:type="dxa"/>
            <w:vAlign w:val="center"/>
          </w:tcPr>
          <w:p w14:paraId="67196AF5" w14:textId="77777777" w:rsidR="001A1BA1" w:rsidRPr="003E4C33" w:rsidRDefault="001A1BA1" w:rsidP="002D57D7">
            <w:pPr>
              <w:rPr>
                <w:b/>
                <w:i/>
              </w:rPr>
            </w:pPr>
            <w:r w:rsidRPr="003E4C33">
              <w:rPr>
                <w:b/>
                <w:i/>
              </w:rPr>
              <w:t xml:space="preserve">Date </w:t>
            </w:r>
          </w:p>
        </w:tc>
      </w:tr>
      <w:tr w:rsidR="001A1BA1" w:rsidRPr="003E4C33" w14:paraId="5F3F749A" w14:textId="77777777" w:rsidTr="6D15E740">
        <w:trPr>
          <w:trHeight w:val="516"/>
        </w:trPr>
        <w:tc>
          <w:tcPr>
            <w:tcW w:w="3119" w:type="dxa"/>
            <w:vAlign w:val="center"/>
          </w:tcPr>
          <w:p w14:paraId="27A74D65" w14:textId="77777777" w:rsidR="001A1BA1" w:rsidRPr="003E4C33" w:rsidRDefault="001A1BA1" w:rsidP="002D57D7">
            <w:pPr>
              <w:spacing w:before="120"/>
              <w:rPr>
                <w:b/>
              </w:rPr>
            </w:pPr>
            <w:r w:rsidRPr="003E4C33">
              <w:rPr>
                <w:b/>
              </w:rPr>
              <w:t>Senior officer</w:t>
            </w:r>
          </w:p>
          <w:p w14:paraId="5850EEA3" w14:textId="449855D8" w:rsidR="001A1BA1" w:rsidRPr="003E4C33" w:rsidRDefault="001A1BA1" w:rsidP="002D57D7">
            <w:pPr>
              <w:spacing w:before="120"/>
            </w:pPr>
            <w:r>
              <w:t xml:space="preserve">e.g. the relevant service manager / </w:t>
            </w:r>
            <w:r w:rsidR="0055056C">
              <w:t>Director</w:t>
            </w:r>
            <w:r>
              <w:t xml:space="preserve"> where the decision maker is the Chief Executive or </w:t>
            </w:r>
            <w:r w:rsidR="0055056C">
              <w:t>a Deputy Chief Executive</w:t>
            </w:r>
            <w:r>
              <w:t>.</w:t>
            </w:r>
          </w:p>
        </w:tc>
        <w:tc>
          <w:tcPr>
            <w:tcW w:w="4536" w:type="dxa"/>
            <w:vAlign w:val="center"/>
          </w:tcPr>
          <w:p w14:paraId="33DFBFFA" w14:textId="6CA3CC84" w:rsidR="001A1BA1" w:rsidRPr="00C55247" w:rsidRDefault="001B065A" w:rsidP="002D57D7">
            <w:pPr>
              <w:rPr>
                <w:color w:val="A6A6A6" w:themeColor="background1" w:themeShade="A6"/>
              </w:rPr>
            </w:pPr>
            <w:r>
              <w:rPr>
                <w:color w:val="auto"/>
              </w:rPr>
              <w:t>N/A</w:t>
            </w:r>
          </w:p>
        </w:tc>
        <w:tc>
          <w:tcPr>
            <w:tcW w:w="1417" w:type="dxa"/>
            <w:vAlign w:val="center"/>
          </w:tcPr>
          <w:p w14:paraId="29D4AEB7" w14:textId="77777777" w:rsidR="001A1BA1" w:rsidRPr="003E4C33" w:rsidRDefault="001A1BA1" w:rsidP="002D57D7"/>
        </w:tc>
      </w:tr>
      <w:tr w:rsidR="001A1BA1" w:rsidRPr="003E4C33" w14:paraId="5B08396D" w14:textId="77777777" w:rsidTr="6D15E740">
        <w:trPr>
          <w:trHeight w:val="1161"/>
        </w:trPr>
        <w:tc>
          <w:tcPr>
            <w:tcW w:w="3119" w:type="dxa"/>
          </w:tcPr>
          <w:p w14:paraId="206914C9" w14:textId="56FA33D0" w:rsidR="001A1BA1" w:rsidRPr="003E4C33" w:rsidRDefault="00D566E2" w:rsidP="002D57D7">
            <w:pPr>
              <w:spacing w:before="120"/>
              <w:rPr>
                <w:b/>
              </w:rPr>
            </w:pPr>
            <w:r>
              <w:rPr>
                <w:b/>
              </w:rPr>
              <w:t>Group Finance Director</w:t>
            </w:r>
          </w:p>
          <w:p w14:paraId="7A4F1884" w14:textId="76E91C55" w:rsidR="001A1BA1" w:rsidRPr="003E4C33" w:rsidRDefault="42DDDBA8" w:rsidP="002D57D7">
            <w:pPr>
              <w:spacing w:before="120"/>
            </w:pPr>
            <w:r w:rsidRPr="003E4C33">
              <w:t>Where required</w:t>
            </w:r>
            <w:r w:rsidR="0AFF6EB2" w:rsidRPr="003E4C33">
              <w:t xml:space="preserve"> by the Constitution or conditions of the delegation</w:t>
            </w:r>
          </w:p>
        </w:tc>
        <w:tc>
          <w:tcPr>
            <w:tcW w:w="4536" w:type="dxa"/>
            <w:vAlign w:val="center"/>
          </w:tcPr>
          <w:p w14:paraId="6FAEF7E6" w14:textId="0F55795D" w:rsidR="001A1BA1" w:rsidRPr="003E4C33" w:rsidRDefault="3AFA1B33" w:rsidP="002D57D7">
            <w:r>
              <w:rPr>
                <w:noProof/>
              </w:rPr>
              <w:drawing>
                <wp:inline distT="0" distB="0" distL="0" distR="0" wp14:anchorId="7BDBC781" wp14:editId="20743EE0">
                  <wp:extent cx="1005927" cy="784928"/>
                  <wp:effectExtent l="0" t="0" r="0" b="0"/>
                  <wp:docPr id="765143558" name="Picture 7651435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1005927" cy="784928"/>
                          </a:xfrm>
                          <a:prstGeom prst="rect">
                            <a:avLst/>
                          </a:prstGeom>
                        </pic:spPr>
                      </pic:pic>
                    </a:graphicData>
                  </a:graphic>
                </wp:inline>
              </w:drawing>
            </w:r>
          </w:p>
          <w:p w14:paraId="476C7451" w14:textId="3C7AC071" w:rsidR="001A1BA1" w:rsidRPr="003E4C33" w:rsidRDefault="3AFA1B33" w:rsidP="002D57D7">
            <w:r>
              <w:t>N</w:t>
            </w:r>
            <w:r w:rsidR="002C4FC6">
              <w:t>igel Kennedy, Group Finance Director</w:t>
            </w:r>
          </w:p>
        </w:tc>
        <w:tc>
          <w:tcPr>
            <w:tcW w:w="1417" w:type="dxa"/>
            <w:vAlign w:val="center"/>
          </w:tcPr>
          <w:p w14:paraId="26B724B7" w14:textId="79DFD195" w:rsidR="001A1BA1" w:rsidRPr="003E4C33" w:rsidRDefault="001B065A" w:rsidP="002D57D7">
            <w:r>
              <w:t>25/04/2025</w:t>
            </w:r>
          </w:p>
        </w:tc>
      </w:tr>
      <w:tr w:rsidR="001A1BA1" w:rsidRPr="003E4C33" w14:paraId="54CB0EFE" w14:textId="77777777" w:rsidTr="6D15E740">
        <w:trPr>
          <w:trHeight w:val="834"/>
        </w:trPr>
        <w:tc>
          <w:tcPr>
            <w:tcW w:w="3119" w:type="dxa"/>
          </w:tcPr>
          <w:p w14:paraId="658FE63C" w14:textId="657649B8" w:rsidR="001A1BA1" w:rsidRPr="003E4C33" w:rsidRDefault="00C56120" w:rsidP="002D57D7">
            <w:pPr>
              <w:spacing w:before="120"/>
              <w:rPr>
                <w:b/>
              </w:rPr>
            </w:pPr>
            <w:r>
              <w:rPr>
                <w:b/>
              </w:rPr>
              <w:t>Director of Law, Governance and Strategy</w:t>
            </w:r>
          </w:p>
          <w:p w14:paraId="5C806B41" w14:textId="50B1676F" w:rsidR="001A1BA1" w:rsidRPr="003E4C33" w:rsidRDefault="42DDDBA8" w:rsidP="002D57D7">
            <w:pPr>
              <w:spacing w:before="120"/>
            </w:pPr>
            <w:r w:rsidRPr="003E4C33">
              <w:t>Where required</w:t>
            </w:r>
            <w:r w:rsidR="00B6369C" w:rsidRPr="003E4C33">
              <w:t xml:space="preserve"> by the Constitution or conditions of the delegation</w:t>
            </w:r>
          </w:p>
        </w:tc>
        <w:tc>
          <w:tcPr>
            <w:tcW w:w="4536" w:type="dxa"/>
            <w:vAlign w:val="center"/>
          </w:tcPr>
          <w:p w14:paraId="62ACA1CB" w14:textId="77777777" w:rsidR="006931E4" w:rsidRDefault="0346D8EA" w:rsidP="002D57D7">
            <w:r>
              <w:rPr>
                <w:noProof/>
              </w:rPr>
              <w:drawing>
                <wp:inline distT="0" distB="0" distL="0" distR="0" wp14:anchorId="5BD5D6AB" wp14:editId="13C7C1B0">
                  <wp:extent cx="670560" cy="365760"/>
                  <wp:effectExtent l="0" t="0" r="0" b="0"/>
                  <wp:docPr id="601381323" name="Picture 601381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0560" cy="365760"/>
                          </a:xfrm>
                          <a:prstGeom prst="rect">
                            <a:avLst/>
                          </a:prstGeom>
                        </pic:spPr>
                      </pic:pic>
                    </a:graphicData>
                  </a:graphic>
                </wp:inline>
              </w:drawing>
            </w:r>
          </w:p>
          <w:p w14:paraId="459F8630" w14:textId="27E04B11" w:rsidR="001A1BA1" w:rsidRPr="003E4C33" w:rsidRDefault="0346D8EA" w:rsidP="002D57D7">
            <w:r>
              <w:t>Emma Griffiths, Legal Services Manager, for and on behalf of the Director of Law, Governance &amp; Strategy</w:t>
            </w:r>
          </w:p>
        </w:tc>
        <w:tc>
          <w:tcPr>
            <w:tcW w:w="1417" w:type="dxa"/>
          </w:tcPr>
          <w:p w14:paraId="13EBB6A8" w14:textId="0AA0D39E" w:rsidR="001A1BA1" w:rsidRPr="003E4C33" w:rsidRDefault="00AD0A83" w:rsidP="002D57D7">
            <w:r>
              <w:t>01/05/</w:t>
            </w:r>
            <w:r w:rsidR="0346D8EA">
              <w:t>2025</w:t>
            </w:r>
          </w:p>
        </w:tc>
      </w:tr>
      <w:tr w:rsidR="001A1BA1" w:rsidRPr="003E4C33" w14:paraId="266E8AC6" w14:textId="77777777" w:rsidTr="6D15E740">
        <w:trPr>
          <w:trHeight w:val="562"/>
        </w:trPr>
        <w:tc>
          <w:tcPr>
            <w:tcW w:w="3119" w:type="dxa"/>
            <w:vAlign w:val="center"/>
          </w:tcPr>
          <w:p w14:paraId="0D0AF673" w14:textId="77777777" w:rsidR="001A1BA1" w:rsidRPr="003E4C33" w:rsidRDefault="001A1BA1" w:rsidP="002D57D7">
            <w:pPr>
              <w:spacing w:before="120"/>
              <w:rPr>
                <w:b/>
              </w:rPr>
            </w:pPr>
            <w:r w:rsidRPr="003E4C33">
              <w:rPr>
                <w:b/>
              </w:rPr>
              <w:t>Cabinet Member(s)</w:t>
            </w:r>
          </w:p>
          <w:p w14:paraId="789D5AE3" w14:textId="4A107205" w:rsidR="001A1BA1" w:rsidRPr="003E4C33" w:rsidRDefault="42DDDBA8" w:rsidP="008A34D3">
            <w:pPr>
              <w:spacing w:before="120"/>
            </w:pPr>
            <w:r w:rsidRPr="003E4C33">
              <w:t xml:space="preserve">Where required </w:t>
            </w:r>
            <w:r w:rsidR="18A47893" w:rsidRPr="003E4C33">
              <w:t>by the conditions of the delegation</w:t>
            </w:r>
          </w:p>
        </w:tc>
        <w:tc>
          <w:tcPr>
            <w:tcW w:w="4536" w:type="dxa"/>
            <w:vAlign w:val="center"/>
          </w:tcPr>
          <w:p w14:paraId="47B4B0BF" w14:textId="77777777" w:rsidR="001A1BA1" w:rsidRPr="003E4C33" w:rsidRDefault="001A1BA1" w:rsidP="002D57D7"/>
        </w:tc>
        <w:tc>
          <w:tcPr>
            <w:tcW w:w="1417" w:type="dxa"/>
            <w:vAlign w:val="center"/>
          </w:tcPr>
          <w:p w14:paraId="79ED7A02" w14:textId="77777777" w:rsidR="001A1BA1" w:rsidRPr="003E4C33" w:rsidRDefault="001A1BA1" w:rsidP="002D57D7"/>
        </w:tc>
      </w:tr>
      <w:tr w:rsidR="001A1BA1" w:rsidRPr="003E4C33" w14:paraId="789A1406" w14:textId="77777777" w:rsidTr="6D15E740">
        <w:trPr>
          <w:trHeight w:val="562"/>
        </w:trPr>
        <w:tc>
          <w:tcPr>
            <w:tcW w:w="3119" w:type="dxa"/>
            <w:vAlign w:val="center"/>
          </w:tcPr>
          <w:p w14:paraId="79CEA511" w14:textId="77777777" w:rsidR="001A1BA1" w:rsidRPr="003E4C33" w:rsidRDefault="001A1BA1" w:rsidP="002D57D7">
            <w:pPr>
              <w:spacing w:before="120"/>
              <w:rPr>
                <w:b/>
              </w:rPr>
            </w:pPr>
            <w:r w:rsidRPr="003E4C33">
              <w:rPr>
                <w:b/>
              </w:rPr>
              <w:t>Ward Members</w:t>
            </w:r>
          </w:p>
          <w:p w14:paraId="079F86E6" w14:textId="03792320" w:rsidR="001A1BA1" w:rsidRPr="003E4C33" w:rsidRDefault="42DDDBA8" w:rsidP="002D57D7">
            <w:pPr>
              <w:spacing w:before="120"/>
            </w:pPr>
            <w:r w:rsidRPr="003E4C33">
              <w:t>Where required</w:t>
            </w:r>
            <w:r w:rsidR="2187760D" w:rsidRPr="003E4C33">
              <w:t xml:space="preserve"> by the Constitution or conditions of the delegation</w:t>
            </w:r>
          </w:p>
        </w:tc>
        <w:tc>
          <w:tcPr>
            <w:tcW w:w="4536" w:type="dxa"/>
            <w:vAlign w:val="center"/>
          </w:tcPr>
          <w:p w14:paraId="0E06D3A4" w14:textId="1A847E1D" w:rsidR="001A1BA1" w:rsidRPr="003E4C33" w:rsidRDefault="001B065A" w:rsidP="002D57D7">
            <w:r>
              <w:t>N/A</w:t>
            </w:r>
          </w:p>
        </w:tc>
        <w:tc>
          <w:tcPr>
            <w:tcW w:w="1417" w:type="dxa"/>
            <w:vAlign w:val="center"/>
          </w:tcPr>
          <w:p w14:paraId="36F1E2E4" w14:textId="77777777" w:rsidR="001A1BA1" w:rsidRPr="003E4C33" w:rsidRDefault="001A1BA1" w:rsidP="002D57D7"/>
        </w:tc>
      </w:tr>
    </w:tbl>
    <w:p w14:paraId="7DAF2BCF" w14:textId="2CC66BA6" w:rsidR="004456DD" w:rsidRPr="003E4C33" w:rsidRDefault="004456DD" w:rsidP="0BC4DFF5">
      <w:pPr>
        <w:rPr>
          <w:rFonts w:cs="Arial"/>
          <w:b/>
          <w:bCs/>
        </w:rPr>
      </w:pPr>
    </w:p>
    <w:p w14:paraId="49FF2A28" w14:textId="58C64575" w:rsidR="004456DD" w:rsidRPr="003E4C33" w:rsidRDefault="2B7BAFE9" w:rsidP="0BC4DFF5">
      <w:pPr>
        <w:rPr>
          <w:rFonts w:cs="Arial"/>
          <w:b/>
          <w:bCs/>
        </w:rPr>
      </w:pPr>
      <w:r w:rsidRPr="003E4C33">
        <w:rPr>
          <w:rFonts w:cs="Arial"/>
          <w:b/>
          <w:bCs/>
        </w:rPr>
        <w:t>Decision Maker Approval</w:t>
      </w:r>
    </w:p>
    <w:tbl>
      <w:tblPr>
        <w:tblStyle w:val="TableGrid1"/>
        <w:tblW w:w="0" w:type="auto"/>
        <w:tblInd w:w="137" w:type="dxa"/>
        <w:tblLook w:val="04A0" w:firstRow="1" w:lastRow="0" w:firstColumn="1" w:lastColumn="0" w:noHBand="0" w:noVBand="1"/>
      </w:tblPr>
      <w:tblGrid>
        <w:gridCol w:w="5103"/>
        <w:gridCol w:w="1418"/>
      </w:tblGrid>
      <w:tr w:rsidR="0BC4DFF5" w:rsidRPr="003E4C33" w14:paraId="56628C58" w14:textId="77777777" w:rsidTr="0BC4DFF5">
        <w:trPr>
          <w:trHeight w:val="300"/>
        </w:trPr>
        <w:tc>
          <w:tcPr>
            <w:tcW w:w="5103" w:type="dxa"/>
            <w:vAlign w:val="center"/>
          </w:tcPr>
          <w:p w14:paraId="0E828CBD" w14:textId="77777777" w:rsidR="0BC4DFF5" w:rsidRPr="003E4C33" w:rsidRDefault="0BC4DFF5" w:rsidP="0BC4DFF5">
            <w:pPr>
              <w:rPr>
                <w:b/>
                <w:bCs/>
                <w:i/>
                <w:iCs/>
              </w:rPr>
            </w:pPr>
            <w:r w:rsidRPr="003E4C33">
              <w:rPr>
                <w:b/>
                <w:bCs/>
                <w:i/>
                <w:iCs/>
              </w:rPr>
              <w:t>Name and job title</w:t>
            </w:r>
          </w:p>
        </w:tc>
        <w:tc>
          <w:tcPr>
            <w:tcW w:w="1417" w:type="dxa"/>
            <w:vAlign w:val="center"/>
          </w:tcPr>
          <w:p w14:paraId="26A26CF0" w14:textId="77777777" w:rsidR="0BC4DFF5" w:rsidRPr="003E4C33" w:rsidRDefault="0BC4DFF5" w:rsidP="0BC4DFF5">
            <w:pPr>
              <w:rPr>
                <w:b/>
                <w:bCs/>
                <w:i/>
                <w:iCs/>
              </w:rPr>
            </w:pPr>
            <w:r w:rsidRPr="003E4C33">
              <w:rPr>
                <w:b/>
                <w:bCs/>
                <w:i/>
                <w:iCs/>
              </w:rPr>
              <w:t xml:space="preserve">Date </w:t>
            </w:r>
          </w:p>
        </w:tc>
      </w:tr>
      <w:tr w:rsidR="0BC4DFF5" w:rsidRPr="003E4C33" w14:paraId="2894A491" w14:textId="77777777" w:rsidTr="0BC4DFF5">
        <w:trPr>
          <w:trHeight w:val="300"/>
        </w:trPr>
        <w:tc>
          <w:tcPr>
            <w:tcW w:w="5103" w:type="dxa"/>
            <w:vAlign w:val="center"/>
          </w:tcPr>
          <w:p w14:paraId="249841EC" w14:textId="45D0A675" w:rsidR="0BC4DFF5" w:rsidRPr="00C55247" w:rsidRDefault="00AD0A83">
            <w:r>
              <w:rPr>
                <w:color w:val="auto"/>
              </w:rPr>
              <w:lastRenderedPageBreak/>
              <w:t>Councillor Ed Turner, Deputy Leader and Cabinet Member for Finance and Asset Management</w:t>
            </w:r>
          </w:p>
        </w:tc>
        <w:tc>
          <w:tcPr>
            <w:tcW w:w="1417" w:type="dxa"/>
            <w:vAlign w:val="center"/>
          </w:tcPr>
          <w:p w14:paraId="32E398AB" w14:textId="3C9929FF" w:rsidR="00CB7A4F" w:rsidRPr="003E4C33" w:rsidRDefault="00AD0A83">
            <w:r>
              <w:t>02/05/2025</w:t>
            </w:r>
          </w:p>
        </w:tc>
      </w:tr>
    </w:tbl>
    <w:p w14:paraId="5D0123A9" w14:textId="77777777" w:rsidR="001A1BA1" w:rsidRPr="003E4C33" w:rsidRDefault="001A1BA1" w:rsidP="0093067A">
      <w:pPr>
        <w:rPr>
          <w:rFonts w:cs="Arial"/>
        </w:rPr>
      </w:pPr>
    </w:p>
    <w:p w14:paraId="51E1354B" w14:textId="51A32FE4" w:rsidR="001A1BA1" w:rsidRPr="003E4C33" w:rsidRDefault="001A1BA1" w:rsidP="0BC4DFF5">
      <w:pPr>
        <w:rPr>
          <w:rFonts w:cs="Arial"/>
        </w:rPr>
      </w:pPr>
      <w:r w:rsidRPr="003E4C33">
        <w:rPr>
          <w:rFonts w:cs="Arial"/>
        </w:rPr>
        <w:t xml:space="preserve">This form must be completed and sent to Committee and Member Services </w:t>
      </w:r>
      <w:r w:rsidR="0A996ACD" w:rsidRPr="003E4C33">
        <w:rPr>
          <w:rFonts w:cs="Arial"/>
          <w:b/>
          <w:bCs/>
        </w:rPr>
        <w:t xml:space="preserve">on the date that the decision maker signs it. This must be only done once all consultees have given their approval. </w:t>
      </w:r>
      <w:r w:rsidR="00354567" w:rsidRPr="003E4C33">
        <w:rPr>
          <w:rFonts w:cs="Arial"/>
          <w:b/>
          <w:bCs/>
        </w:rPr>
        <w:t xml:space="preserve"> The decision shall be effective from the date of </w:t>
      </w:r>
      <w:r w:rsidR="395C47E3" w:rsidRPr="003E4C33">
        <w:rPr>
          <w:rFonts w:cs="Arial"/>
          <w:b/>
          <w:bCs/>
        </w:rPr>
        <w:t>publication;</w:t>
      </w:r>
      <w:r w:rsidR="7126238E" w:rsidRPr="003E4C33">
        <w:rPr>
          <w:rFonts w:cs="Arial"/>
          <w:b/>
          <w:bCs/>
        </w:rPr>
        <w:t xml:space="preserve"> </w:t>
      </w:r>
      <w:r w:rsidR="4E780D21" w:rsidRPr="003E4C33">
        <w:rPr>
          <w:rFonts w:cs="Arial"/>
          <w:b/>
          <w:bCs/>
        </w:rPr>
        <w:t>therefore,</w:t>
      </w:r>
      <w:r w:rsidR="7126238E" w:rsidRPr="003E4C33">
        <w:rPr>
          <w:rFonts w:cs="Arial"/>
          <w:b/>
          <w:bCs/>
        </w:rPr>
        <w:t xml:space="preserve"> it is important that you send to Committee and Member Services as soon as it is completed and dated by the decision maker. Please note that it is not effective until it is published and the call in period has passed. </w:t>
      </w:r>
    </w:p>
    <w:p w14:paraId="4D10D099" w14:textId="77777777" w:rsidR="001A1BA1" w:rsidRPr="003E4C33" w:rsidRDefault="001A1BA1" w:rsidP="001A1BA1">
      <w:pPr>
        <w:rPr>
          <w:rFonts w:cs="Arial"/>
          <w:b/>
        </w:rPr>
      </w:pPr>
    </w:p>
    <w:p w14:paraId="63D98B5A" w14:textId="0E08CFA2" w:rsidR="001A1BA1" w:rsidRPr="003E4C33" w:rsidRDefault="00DF5D4E" w:rsidP="0033565F">
      <w:pPr>
        <w:spacing w:after="0"/>
        <w:rPr>
          <w:rFonts w:cs="Arial"/>
          <w:b/>
        </w:rPr>
      </w:pPr>
      <w:r w:rsidRPr="003E4C33">
        <w:rPr>
          <w:rFonts w:cs="Arial"/>
          <w:b/>
        </w:rPr>
        <w:br w:type="page"/>
      </w:r>
      <w:r w:rsidR="001A1BA1" w:rsidRPr="003E4C33">
        <w:rPr>
          <w:rFonts w:cs="Arial"/>
          <w:b/>
        </w:rPr>
        <w:lastRenderedPageBreak/>
        <w:t>NOTES</w:t>
      </w:r>
    </w:p>
    <w:p w14:paraId="2BC3DEAD" w14:textId="77777777" w:rsidR="001A1BA1" w:rsidRPr="003E4C33" w:rsidRDefault="001A1BA1" w:rsidP="001A1BA1">
      <w:pPr>
        <w:rPr>
          <w:rFonts w:cs="Arial"/>
          <w:b/>
        </w:rPr>
      </w:pPr>
    </w:p>
    <w:p w14:paraId="14426AAB" w14:textId="77777777" w:rsidR="001A1BA1" w:rsidRPr="003E4C33" w:rsidRDefault="001A1BA1" w:rsidP="001A1BA1">
      <w:pPr>
        <w:rPr>
          <w:rFonts w:cs="Arial"/>
        </w:rPr>
      </w:pPr>
      <w:r w:rsidRPr="003E4C33">
        <w:rPr>
          <w:rFonts w:cs="Arial"/>
        </w:rPr>
        <w:t>The law</w:t>
      </w:r>
      <w:r w:rsidRPr="003E4C33">
        <w:rPr>
          <w:rStyle w:val="FootnoteReference"/>
          <w:rFonts w:cs="Arial"/>
        </w:rPr>
        <w:footnoteReference w:id="2"/>
      </w:r>
      <w:r w:rsidRPr="003E4C33">
        <w:rPr>
          <w:rFonts w:cs="Arial"/>
        </w:rPr>
        <w:t xml:space="preserve"> requires the Council to record executive and non-executive decisions taken by officers under delegated powers and to publish them on the Council’s website.  </w:t>
      </w:r>
    </w:p>
    <w:p w14:paraId="5302D11A" w14:textId="77777777" w:rsidR="001A1BA1" w:rsidRPr="003E4C33" w:rsidRDefault="001A1BA1" w:rsidP="001A1BA1">
      <w:pPr>
        <w:rPr>
          <w:rFonts w:cs="Arial"/>
        </w:rPr>
      </w:pPr>
    </w:p>
    <w:p w14:paraId="2E1CA804" w14:textId="77777777" w:rsidR="001A1BA1" w:rsidRPr="003E4C33" w:rsidRDefault="001A1BA1" w:rsidP="001A1BA1">
      <w:pPr>
        <w:rPr>
          <w:rFonts w:cs="Arial"/>
        </w:rPr>
      </w:pPr>
      <w:r w:rsidRPr="003E4C33">
        <w:rPr>
          <w:rFonts w:cs="Arial"/>
        </w:rPr>
        <w:t>These requirements apply</w:t>
      </w:r>
      <w:r w:rsidRPr="003E4C33">
        <w:rPr>
          <w:rFonts w:cs="Arial"/>
          <w:b/>
          <w:bCs/>
        </w:rPr>
        <w:t> </w:t>
      </w:r>
      <w:r w:rsidRPr="003E4C33">
        <w:rPr>
          <w:rFonts w:cs="Arial"/>
        </w:rPr>
        <w:t>to decisions that would have been taken by Council or the Cabinet if delegated powers had not been given to an officer:</w:t>
      </w:r>
    </w:p>
    <w:p w14:paraId="1C666591" w14:textId="77777777" w:rsidR="001A1BA1" w:rsidRPr="003E4C33" w:rsidRDefault="001A1BA1" w:rsidP="001A1BA1">
      <w:pPr>
        <w:numPr>
          <w:ilvl w:val="0"/>
          <w:numId w:val="36"/>
        </w:numPr>
        <w:spacing w:after="0"/>
        <w:rPr>
          <w:rFonts w:cs="Arial"/>
        </w:rPr>
      </w:pPr>
      <w:r w:rsidRPr="003E4C33">
        <w:rPr>
          <w:rFonts w:cs="Arial"/>
        </w:rPr>
        <w:t>under an express delegation granted at a meeting of Cabinet, Council or a Committee.</w:t>
      </w:r>
    </w:p>
    <w:p w14:paraId="1F53236D" w14:textId="3F539FCA" w:rsidR="001A1BA1" w:rsidRPr="003E4C33" w:rsidRDefault="009D7080" w:rsidP="001A1BA1">
      <w:pPr>
        <w:numPr>
          <w:ilvl w:val="0"/>
          <w:numId w:val="36"/>
        </w:numPr>
        <w:spacing w:after="0"/>
        <w:rPr>
          <w:rFonts w:cs="Arial"/>
        </w:rPr>
      </w:pPr>
      <w:r w:rsidRPr="003E4C33">
        <w:rPr>
          <w:rFonts w:cs="Arial"/>
        </w:rPr>
        <w:t xml:space="preserve">in accordance with </w:t>
      </w:r>
      <w:r w:rsidR="70BB03AA" w:rsidRPr="003E4C33">
        <w:rPr>
          <w:rFonts w:cs="Arial"/>
        </w:rPr>
        <w:t xml:space="preserve">Part </w:t>
      </w:r>
      <w:r w:rsidRPr="003E4C33">
        <w:rPr>
          <w:rFonts w:cs="Arial"/>
        </w:rPr>
        <w:t xml:space="preserve">4.4 of the </w:t>
      </w:r>
      <w:r w:rsidR="45BBD153" w:rsidRPr="003E4C33">
        <w:rPr>
          <w:rFonts w:cs="Arial"/>
        </w:rPr>
        <w:t>C</w:t>
      </w:r>
      <w:r w:rsidRPr="003E4C33">
        <w:rPr>
          <w:rFonts w:cs="Arial"/>
        </w:rPr>
        <w:t>onstitution as follows</w:t>
      </w:r>
      <w:r w:rsidR="001A1BA1" w:rsidRPr="003E4C33">
        <w:rPr>
          <w:rFonts w:cs="Arial"/>
        </w:rPr>
        <w:t>:</w:t>
      </w:r>
    </w:p>
    <w:p w14:paraId="77483EB8" w14:textId="77777777" w:rsidR="009D7080" w:rsidRPr="003E4C33" w:rsidRDefault="009D7080" w:rsidP="0033565F">
      <w:pPr>
        <w:pStyle w:val="dBulletpoints"/>
        <w:numPr>
          <w:ilvl w:val="1"/>
          <w:numId w:val="36"/>
        </w:numPr>
        <w:rPr>
          <w:rFonts w:cs="Arial"/>
        </w:rPr>
      </w:pPr>
      <w:r w:rsidRPr="003E4C33">
        <w:rPr>
          <w:rFonts w:cs="Arial"/>
        </w:rPr>
        <w:t>Awarding a contract where authority has been specifically delegated to officers by Cabinet or a Cabinet Member (regardless of value)</w:t>
      </w:r>
    </w:p>
    <w:p w14:paraId="299B0B90" w14:textId="77777777" w:rsidR="009D7080" w:rsidRPr="003E4C33" w:rsidRDefault="009D7080" w:rsidP="0033565F">
      <w:pPr>
        <w:pStyle w:val="dBulletpoints"/>
        <w:numPr>
          <w:ilvl w:val="1"/>
          <w:numId w:val="36"/>
        </w:numPr>
        <w:rPr>
          <w:rFonts w:cs="Arial"/>
        </w:rPr>
      </w:pPr>
      <w:r w:rsidRPr="003E4C33">
        <w:rPr>
          <w:rFonts w:cs="Arial"/>
        </w:rPr>
        <w:t>Acquiring or disposing of freeholds or leaseholds granting new leaseholds (excluding assignments and rent reviews) where authority has been specifically delegated to officers by Cabinet or a Cabinet Member (regardless of value)</w:t>
      </w:r>
    </w:p>
    <w:p w14:paraId="3C174A63" w14:textId="77777777" w:rsidR="009D7080" w:rsidRPr="003E4C33" w:rsidRDefault="009D7080" w:rsidP="0033565F">
      <w:pPr>
        <w:pStyle w:val="dBulletpoints"/>
        <w:numPr>
          <w:ilvl w:val="1"/>
          <w:numId w:val="36"/>
        </w:numPr>
        <w:rPr>
          <w:rFonts w:cs="Arial"/>
        </w:rPr>
      </w:pPr>
      <w:r w:rsidRPr="003E4C33">
        <w:rPr>
          <w:rFonts w:cs="Arial"/>
        </w:rPr>
        <w:t>Making a regulatory order which affects a number of people, for example a Public Space Protection Order or a Parking Place Order</w:t>
      </w:r>
    </w:p>
    <w:p w14:paraId="648D7ED8" w14:textId="77777777" w:rsidR="009D7080" w:rsidRPr="003E4C33" w:rsidRDefault="009D7080" w:rsidP="0033565F">
      <w:pPr>
        <w:pStyle w:val="dBulletpoints"/>
        <w:numPr>
          <w:ilvl w:val="1"/>
          <w:numId w:val="36"/>
        </w:numPr>
        <w:rPr>
          <w:rFonts w:cs="Arial"/>
        </w:rPr>
      </w:pPr>
      <w:r w:rsidRPr="003E4C33">
        <w:rPr>
          <w:rFonts w:cs="Arial"/>
        </w:rPr>
        <w:t>Where the effect of a decision is to grant a licence or permission or it affects the rights of citizens</w:t>
      </w:r>
    </w:p>
    <w:p w14:paraId="23481E3B" w14:textId="77777777" w:rsidR="009D7080" w:rsidRPr="003E4C33" w:rsidRDefault="009D7080" w:rsidP="0033565F">
      <w:pPr>
        <w:pStyle w:val="dBulletpoints"/>
        <w:numPr>
          <w:ilvl w:val="1"/>
          <w:numId w:val="36"/>
        </w:numPr>
        <w:rPr>
          <w:rFonts w:cs="Arial"/>
        </w:rPr>
      </w:pPr>
      <w:r w:rsidRPr="003E4C33">
        <w:rPr>
          <w:rFonts w:cs="Arial"/>
        </w:rPr>
        <w:t>Discharging any other express delegation from Cabinet or a Cabinet Member a committee or Council.</w:t>
      </w:r>
    </w:p>
    <w:p w14:paraId="331419B0" w14:textId="77777777" w:rsidR="001A1BA1" w:rsidRPr="003E4C33" w:rsidRDefault="001A1BA1" w:rsidP="001A1BA1">
      <w:pPr>
        <w:ind w:left="1440"/>
        <w:rPr>
          <w:rFonts w:cs="Arial"/>
        </w:rPr>
      </w:pPr>
      <w:bookmarkStart w:id="0" w:name="_bookmark0"/>
      <w:bookmarkEnd w:id="0"/>
    </w:p>
    <w:p w14:paraId="252A5213" w14:textId="77777777" w:rsidR="001A1BA1" w:rsidRPr="003E4C33" w:rsidRDefault="001A1BA1" w:rsidP="001A1BA1">
      <w:pPr>
        <w:rPr>
          <w:rFonts w:cs="Arial"/>
        </w:rPr>
      </w:pPr>
      <w:r w:rsidRPr="003E4C33">
        <w:rPr>
          <w:rFonts w:cs="Arial"/>
        </w:rPr>
        <w:t>These requirements </w:t>
      </w:r>
      <w:r w:rsidRPr="003E4C33">
        <w:rPr>
          <w:rFonts w:cs="Arial"/>
          <w:b/>
          <w:bCs/>
        </w:rPr>
        <w:t>do not</w:t>
      </w:r>
      <w:r w:rsidRPr="003E4C33">
        <w:rPr>
          <w:rFonts w:cs="Arial"/>
        </w:rPr>
        <w:t> apply to:</w:t>
      </w:r>
    </w:p>
    <w:p w14:paraId="639B7446" w14:textId="77777777" w:rsidR="001A1BA1" w:rsidRPr="003E4C33" w:rsidRDefault="001A1BA1" w:rsidP="001A1BA1">
      <w:pPr>
        <w:numPr>
          <w:ilvl w:val="0"/>
          <w:numId w:val="37"/>
        </w:numPr>
        <w:spacing w:after="0"/>
        <w:rPr>
          <w:rFonts w:cs="Arial"/>
        </w:rPr>
      </w:pPr>
      <w:r w:rsidRPr="003E4C33">
        <w:rPr>
          <w:rFonts w:cs="Arial"/>
        </w:rPr>
        <w:t>planning and licencing matters where there are established arrangements for recording decisions: or</w:t>
      </w:r>
    </w:p>
    <w:p w14:paraId="5DC8854F" w14:textId="77777777" w:rsidR="001A1BA1" w:rsidRPr="003E4C33" w:rsidRDefault="001A1BA1" w:rsidP="001A1BA1">
      <w:pPr>
        <w:numPr>
          <w:ilvl w:val="0"/>
          <w:numId w:val="37"/>
        </w:numPr>
        <w:spacing w:after="0"/>
        <w:rPr>
          <w:rFonts w:cs="Arial"/>
        </w:rPr>
      </w:pPr>
      <w:r w:rsidRPr="003E4C33">
        <w:rPr>
          <w:rFonts w:cs="Arial"/>
        </w:rPr>
        <w:t>decisions which are purely administrative or operational in nature</w:t>
      </w:r>
    </w:p>
    <w:p w14:paraId="70AF0668" w14:textId="77777777" w:rsidR="001A1BA1" w:rsidRPr="003E4C33" w:rsidRDefault="001A1BA1" w:rsidP="001A1BA1">
      <w:pPr>
        <w:rPr>
          <w:rFonts w:cs="Arial"/>
        </w:rPr>
      </w:pPr>
    </w:p>
    <w:p w14:paraId="0595B467" w14:textId="5C2E59A5" w:rsidR="001A1BA1" w:rsidRPr="003E4C33" w:rsidRDefault="005E2B45" w:rsidP="001A1BA1">
      <w:pPr>
        <w:rPr>
          <w:rFonts w:cs="Arial"/>
        </w:rPr>
      </w:pPr>
      <w:r w:rsidRPr="003E4C33">
        <w:rPr>
          <w:rFonts w:cs="Arial"/>
        </w:rPr>
        <w:t xml:space="preserve">All other officer decisions should be recorded on an officer decision form but do not need to be published. </w:t>
      </w:r>
      <w:r w:rsidR="3D3B0069" w:rsidRPr="003E4C33">
        <w:rPr>
          <w:rFonts w:cs="Arial"/>
        </w:rPr>
        <w:t>They must though be stored so as to ensure that they are not lost should an officer leave the authority.</w:t>
      </w:r>
    </w:p>
    <w:p w14:paraId="5B368731" w14:textId="77777777" w:rsidR="001A1BA1" w:rsidRPr="003E4C33" w:rsidRDefault="001A1BA1" w:rsidP="001A1BA1">
      <w:pPr>
        <w:rPr>
          <w:rFonts w:cs="Arial"/>
        </w:rPr>
      </w:pPr>
    </w:p>
    <w:p w14:paraId="55ED5058" w14:textId="77777777" w:rsidR="001A1BA1" w:rsidRPr="003E4C33" w:rsidRDefault="001A1BA1" w:rsidP="001A1BA1">
      <w:pPr>
        <w:rPr>
          <w:rFonts w:cs="Arial"/>
          <w:b/>
        </w:rPr>
      </w:pPr>
      <w:r w:rsidRPr="003E4C33">
        <w:rPr>
          <w:rFonts w:cs="Arial"/>
          <w:b/>
        </w:rPr>
        <w:t>Exempt or Confidential information</w:t>
      </w:r>
    </w:p>
    <w:p w14:paraId="0C302F3E" w14:textId="77777777" w:rsidR="001A1BA1" w:rsidRPr="003E4C33" w:rsidRDefault="001A1BA1" w:rsidP="001A1BA1">
      <w:pPr>
        <w:rPr>
          <w:rFonts w:cs="Arial"/>
          <w:b/>
        </w:rPr>
      </w:pPr>
    </w:p>
    <w:p w14:paraId="2F9106E3" w14:textId="120D4896" w:rsidR="001A1BA1" w:rsidRPr="003E4C33" w:rsidRDefault="001A1BA1" w:rsidP="001A1BA1">
      <w:pPr>
        <w:rPr>
          <w:rFonts w:cs="Arial"/>
        </w:rPr>
      </w:pPr>
      <w:r w:rsidRPr="003E4C33">
        <w:rPr>
          <w:rFonts w:cs="Arial"/>
        </w:rPr>
        <w:t xml:space="preserve">Information relating to a delegated officer </w:t>
      </w:r>
      <w:r w:rsidR="086B0F04" w:rsidRPr="003E4C33">
        <w:rPr>
          <w:rFonts w:cs="Arial"/>
        </w:rPr>
        <w:t xml:space="preserve">or single member </w:t>
      </w:r>
      <w:r w:rsidRPr="003E4C33">
        <w:rPr>
          <w:rFonts w:cs="Arial"/>
        </w:rPr>
        <w:t xml:space="preserve">decision does not have to be made public if it is exempt or confidential. Summary information from this decision </w:t>
      </w:r>
      <w:r w:rsidRPr="003E4C33">
        <w:rPr>
          <w:rFonts w:cs="Arial"/>
        </w:rPr>
        <w:lastRenderedPageBreak/>
        <w:t>sheet (excluding all exempt or confidential information) will be published on the Council’s website.</w:t>
      </w:r>
    </w:p>
    <w:p w14:paraId="69C1F021" w14:textId="77777777" w:rsidR="001A1BA1" w:rsidRPr="003E4C33" w:rsidRDefault="001A1BA1" w:rsidP="001A1BA1">
      <w:pPr>
        <w:rPr>
          <w:rFonts w:cs="Arial"/>
        </w:rPr>
      </w:pPr>
    </w:p>
    <w:p w14:paraId="50260EA2" w14:textId="77777777" w:rsidR="001A1BA1" w:rsidRPr="003E4C33" w:rsidRDefault="001A1BA1" w:rsidP="001A1BA1">
      <w:pPr>
        <w:rPr>
          <w:rFonts w:cs="Arial"/>
          <w:b/>
        </w:rPr>
      </w:pPr>
      <w:r w:rsidRPr="003E4C33">
        <w:rPr>
          <w:rFonts w:cs="Arial"/>
          <w:b/>
        </w:rPr>
        <w:t>Key or Non Key Decision</w:t>
      </w:r>
    </w:p>
    <w:p w14:paraId="5F0C453A" w14:textId="77777777" w:rsidR="001A1BA1" w:rsidRPr="003E4C33" w:rsidRDefault="001A1BA1" w:rsidP="001A1BA1">
      <w:pPr>
        <w:rPr>
          <w:rFonts w:cs="Arial"/>
          <w:b/>
        </w:rPr>
      </w:pPr>
    </w:p>
    <w:p w14:paraId="1111D469" w14:textId="20C690CE" w:rsidR="00226F8A" w:rsidRPr="003E4C33" w:rsidRDefault="001A1BA1" w:rsidP="00EE149B">
      <w:pPr>
        <w:rPr>
          <w:rFonts w:cs="Arial"/>
        </w:rPr>
      </w:pPr>
      <w:r w:rsidRPr="003E4C33">
        <w:rPr>
          <w:rFonts w:cs="Arial"/>
        </w:rPr>
        <w:t>A key decision is an executive decision</w:t>
      </w:r>
      <w:r w:rsidR="00226F8A" w:rsidRPr="003E4C33">
        <w:rPr>
          <w:rFonts w:cs="Arial"/>
        </w:rPr>
        <w:t xml:space="preserve"> which is likely to: </w:t>
      </w:r>
    </w:p>
    <w:p w14:paraId="740E83CD" w14:textId="77777777" w:rsidR="00226F8A" w:rsidRPr="003E4C33" w:rsidRDefault="00226F8A" w:rsidP="00226F8A">
      <w:pPr>
        <w:pStyle w:val="dBulletpoints"/>
        <w:tabs>
          <w:tab w:val="clear" w:pos="1418"/>
        </w:tabs>
        <w:ind w:left="1276" w:hanging="284"/>
        <w:rPr>
          <w:rFonts w:cs="Arial"/>
        </w:rPr>
      </w:pPr>
      <w:r w:rsidRPr="003E4C33">
        <w:rPr>
          <w:rFonts w:cs="Arial"/>
        </w:rPr>
        <w:t>Have a significant effect on people living or working in a least two wards or</w:t>
      </w:r>
    </w:p>
    <w:p w14:paraId="6BE3507F" w14:textId="77777777" w:rsidR="00226F8A" w:rsidRPr="003E4C33" w:rsidRDefault="00226F8A" w:rsidP="00226F8A">
      <w:pPr>
        <w:pStyle w:val="dBulletpoints"/>
        <w:tabs>
          <w:tab w:val="clear" w:pos="1418"/>
        </w:tabs>
        <w:ind w:left="1276" w:hanging="284"/>
        <w:rPr>
          <w:rFonts w:cs="Arial"/>
        </w:rPr>
      </w:pPr>
      <w:r w:rsidRPr="003E4C33">
        <w:rPr>
          <w:rFonts w:cs="Arial"/>
        </w:rPr>
        <w:t>Involve spending, income, or saving a significant amount – whether an amount is significant depends on the Council’s total budget for the service involved. For this Council ‘significant’ in budgetary terms is:</w:t>
      </w:r>
    </w:p>
    <w:p w14:paraId="0A941040" w14:textId="77777777" w:rsidR="00226F8A" w:rsidRPr="003E4C33" w:rsidRDefault="00226F8A" w:rsidP="00226F8A">
      <w:pPr>
        <w:pStyle w:val="dBulletpoints"/>
        <w:numPr>
          <w:ilvl w:val="1"/>
          <w:numId w:val="3"/>
        </w:numPr>
        <w:tabs>
          <w:tab w:val="clear" w:pos="1418"/>
        </w:tabs>
        <w:ind w:left="2268" w:hanging="567"/>
        <w:rPr>
          <w:rFonts w:cs="Arial"/>
        </w:rPr>
      </w:pPr>
      <w:r w:rsidRPr="003E4C33">
        <w:rPr>
          <w:rFonts w:cs="Arial"/>
        </w:rPr>
        <w:t xml:space="preserve">Expenditure, income, or savings of £750,000 or greater in the context of the medium term financial strategy, </w:t>
      </w:r>
    </w:p>
    <w:p w14:paraId="6D402151" w14:textId="77777777" w:rsidR="00226F8A" w:rsidRPr="003E4C33" w:rsidRDefault="00226F8A" w:rsidP="00226F8A">
      <w:pPr>
        <w:pStyle w:val="dBulletpoints"/>
        <w:numPr>
          <w:ilvl w:val="1"/>
          <w:numId w:val="3"/>
        </w:numPr>
        <w:tabs>
          <w:tab w:val="clear" w:pos="1418"/>
        </w:tabs>
        <w:ind w:left="2268" w:hanging="567"/>
        <w:rPr>
          <w:rFonts w:cs="Arial"/>
        </w:rPr>
      </w:pPr>
      <w:r w:rsidRPr="003E4C33">
        <w:rPr>
          <w:rFonts w:cs="Arial"/>
        </w:rPr>
        <w:t>Acquiring or disposing of freeholds with a consideration over £500,000 in the context of the medium term financial strategy except for disposals pursuant to right to buy legislation</w:t>
      </w:r>
    </w:p>
    <w:p w14:paraId="504B17DC" w14:textId="77777777" w:rsidR="00226F8A" w:rsidRPr="003E4C33" w:rsidRDefault="00226F8A" w:rsidP="00226F8A">
      <w:pPr>
        <w:pStyle w:val="dBulletpoints"/>
        <w:numPr>
          <w:ilvl w:val="1"/>
          <w:numId w:val="3"/>
        </w:numPr>
        <w:tabs>
          <w:tab w:val="clear" w:pos="1418"/>
        </w:tabs>
        <w:ind w:left="2268" w:hanging="567"/>
        <w:rPr>
          <w:rFonts w:cs="Arial"/>
        </w:rPr>
      </w:pPr>
      <w:r w:rsidRPr="003E4C33">
        <w:rPr>
          <w:rFonts w:cs="Arial"/>
        </w:rPr>
        <w:t>Acquiring or disposing of leaseholds where either the rental value is in excess of £250,000 per annum and/or the premium is £750,000 except for statutory lease renewals under Part 2 of the Landlord and Tenant Act 1954 and disposals pursuant to right to buy legislation and disposals pursuant to right to buy legislation.</w:t>
      </w:r>
    </w:p>
    <w:p w14:paraId="6BDF4170" w14:textId="77777777" w:rsidR="00226F8A" w:rsidRPr="003E4C33" w:rsidRDefault="00226F8A" w:rsidP="00226F8A">
      <w:pPr>
        <w:pStyle w:val="dBulletpoints"/>
        <w:numPr>
          <w:ilvl w:val="1"/>
          <w:numId w:val="3"/>
        </w:numPr>
        <w:tabs>
          <w:tab w:val="clear" w:pos="1418"/>
        </w:tabs>
        <w:ind w:left="2268" w:hanging="567"/>
        <w:rPr>
          <w:rFonts w:cs="Arial"/>
        </w:rPr>
      </w:pPr>
      <w:r w:rsidRPr="003E4C33">
        <w:rPr>
          <w:rFonts w:cs="Arial"/>
        </w:rPr>
        <w:t>Acquiring or disposing of easements with a value over £750,000 and/or rental value over £250,000 each year</w:t>
      </w:r>
    </w:p>
    <w:p w14:paraId="56AC09C2" w14:textId="77777777" w:rsidR="00226F8A" w:rsidRPr="003E4C33" w:rsidRDefault="001A1BA1" w:rsidP="001A1BA1">
      <w:pPr>
        <w:rPr>
          <w:rFonts w:cs="Arial"/>
        </w:rPr>
      </w:pPr>
      <w:r w:rsidRPr="003E4C33">
        <w:rPr>
          <w:rFonts w:cs="Arial"/>
        </w:rPr>
        <w:t xml:space="preserve"> </w:t>
      </w:r>
    </w:p>
    <w:p w14:paraId="227A5352" w14:textId="78F4957C" w:rsidR="001A1BA1" w:rsidRPr="003E4C33" w:rsidRDefault="001A1BA1" w:rsidP="001A1BA1">
      <w:pPr>
        <w:rPr>
          <w:rFonts w:cs="Arial"/>
        </w:rPr>
      </w:pPr>
      <w:r w:rsidRPr="6705CB2F">
        <w:rPr>
          <w:rFonts w:cs="Arial"/>
        </w:rPr>
        <w:t xml:space="preserve">A key decision can only be taken and recorded here if notice of it has been published </w:t>
      </w:r>
      <w:r w:rsidR="7ACC6696" w:rsidRPr="6705CB2F">
        <w:rPr>
          <w:rFonts w:cs="Arial"/>
        </w:rPr>
        <w:t>o</w:t>
      </w:r>
      <w:r w:rsidRPr="6705CB2F">
        <w:rPr>
          <w:rFonts w:cs="Arial"/>
        </w:rPr>
        <w:t>n the Forward Plan for at least 28 clear days. Key decisions taken by officers may be “called in” by any four councillors or the Chair of the Scrutiny Committee within two days of the notice of decision being published.</w:t>
      </w:r>
      <w:r>
        <w:tab/>
      </w:r>
    </w:p>
    <w:p w14:paraId="49DB25B0" w14:textId="77777777" w:rsidR="001A1BA1" w:rsidRPr="003E4C33" w:rsidRDefault="001A1BA1" w:rsidP="0093067A">
      <w:pPr>
        <w:rPr>
          <w:rFonts w:cs="Arial"/>
        </w:rPr>
      </w:pPr>
    </w:p>
    <w:sectPr w:rsidR="001A1BA1" w:rsidRPr="003E4C33" w:rsidSect="002B6836">
      <w:headerReference w:type="even" r:id="rId14"/>
      <w:headerReference w:type="default" r:id="rId15"/>
      <w:footerReference w:type="even" r:id="rId16"/>
      <w:footerReference w:type="default" r:id="rId17"/>
      <w:headerReference w:type="first" r:id="rId18"/>
      <w:footerReference w:type="first" r:id="rId19"/>
      <w:pgSz w:w="11906" w:h="16838" w:code="9"/>
      <w:pgMar w:top="1418" w:right="1304" w:bottom="1628" w:left="1304" w:header="113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87C1E0" w14:textId="77777777" w:rsidR="00B05100" w:rsidRDefault="00B05100" w:rsidP="004A6D2F">
      <w:r>
        <w:separator/>
      </w:r>
    </w:p>
  </w:endnote>
  <w:endnote w:type="continuationSeparator" w:id="0">
    <w:p w14:paraId="654C3EA2" w14:textId="77777777" w:rsidR="00B05100" w:rsidRDefault="00B05100" w:rsidP="004A6D2F">
      <w:r>
        <w:continuationSeparator/>
      </w:r>
    </w:p>
  </w:endnote>
  <w:endnote w:type="continuationNotice" w:id="1">
    <w:p w14:paraId="138FF1BA" w14:textId="77777777" w:rsidR="00B05100" w:rsidRDefault="00B0510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396E9" w14:textId="77777777" w:rsidR="00364FAD" w:rsidRDefault="00364FAD" w:rsidP="004A6D2F">
    <w:pPr>
      <w:pStyle w:val="Footer"/>
    </w:pPr>
    <w:r>
      <w:t>Do not use a footer or page numbers.</w:t>
    </w:r>
  </w:p>
  <w:p w14:paraId="382151EB" w14:textId="77777777" w:rsidR="00364FAD" w:rsidRDefault="00364FAD" w:rsidP="004A6D2F">
    <w:pPr>
      <w:pStyle w:val="Footer"/>
    </w:pPr>
  </w:p>
  <w:p w14:paraId="71508626" w14:textId="77777777" w:rsidR="00364FAD" w:rsidRDefault="00364FAD" w:rsidP="004A6D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B452A" w14:textId="0467CAC3" w:rsidR="005B064B" w:rsidRPr="005B064B" w:rsidRDefault="001A1BA1" w:rsidP="005B064B">
    <w:pPr>
      <w:pStyle w:val="Footer"/>
      <w:jc w:val="center"/>
      <w:rPr>
        <w:rFonts w:cs="Arial"/>
        <w:b/>
        <w:sz w:val="24"/>
      </w:rPr>
    </w:pPr>
    <w:r w:rsidRPr="001A1BA1">
      <w:rPr>
        <w:rFonts w:cs="Arial"/>
        <w:b/>
        <w:sz w:val="24"/>
      </w:rPr>
      <w:t xml:space="preserve">Please send the completed form to </w:t>
    </w:r>
    <w:hyperlink r:id="rId1" w:history="1">
      <w:r w:rsidR="005B064B" w:rsidRPr="00936544">
        <w:rPr>
          <w:rStyle w:val="Hyperlink"/>
          <w:rFonts w:cs="Arial"/>
          <w:b/>
        </w:rPr>
        <w:t>acforwardplan@oxford.gov.uk</w:t>
      </w:r>
    </w:hyperlink>
    <w:r w:rsidR="005B064B" w:rsidRPr="005B064B">
      <w:rPr>
        <w:rFonts w:cs="Arial"/>
        <w:b/>
        <w:color w:val="0000FF"/>
        <w:sz w:val="24"/>
        <w:u w:val="single"/>
      </w:rPr>
      <w:t xml:space="preserve"> </w:t>
    </w:r>
  </w:p>
  <w:p w14:paraId="5B751826" w14:textId="77777777" w:rsidR="001A1BA1" w:rsidRDefault="001A1B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95"/>
      <w:gridCol w:w="3095"/>
      <w:gridCol w:w="3095"/>
    </w:tblGrid>
    <w:tr w:rsidR="0287E82A" w14:paraId="51E1F694" w14:textId="77777777" w:rsidTr="0287E82A">
      <w:trPr>
        <w:trHeight w:val="300"/>
      </w:trPr>
      <w:tc>
        <w:tcPr>
          <w:tcW w:w="3095" w:type="dxa"/>
        </w:tcPr>
        <w:p w14:paraId="126F9EB7" w14:textId="11AAB0A5" w:rsidR="0287E82A" w:rsidRDefault="0287E82A" w:rsidP="0287E82A">
          <w:pPr>
            <w:pStyle w:val="Header"/>
            <w:ind w:left="-115"/>
          </w:pPr>
        </w:p>
      </w:tc>
      <w:tc>
        <w:tcPr>
          <w:tcW w:w="3095" w:type="dxa"/>
        </w:tcPr>
        <w:p w14:paraId="64C45085" w14:textId="32C406C4" w:rsidR="0287E82A" w:rsidRDefault="0287E82A" w:rsidP="0287E82A">
          <w:pPr>
            <w:pStyle w:val="Header"/>
            <w:jc w:val="center"/>
          </w:pPr>
        </w:p>
      </w:tc>
      <w:tc>
        <w:tcPr>
          <w:tcW w:w="3095" w:type="dxa"/>
        </w:tcPr>
        <w:p w14:paraId="3629DF67" w14:textId="523EA6A7" w:rsidR="0287E82A" w:rsidRDefault="0287E82A" w:rsidP="0287E82A">
          <w:pPr>
            <w:pStyle w:val="Header"/>
            <w:ind w:right="-115"/>
            <w:jc w:val="right"/>
          </w:pPr>
        </w:p>
      </w:tc>
    </w:tr>
  </w:tbl>
  <w:p w14:paraId="2AB29197" w14:textId="39E39241" w:rsidR="0287E82A" w:rsidRDefault="0287E82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449D70" w14:textId="77777777" w:rsidR="00B05100" w:rsidRDefault="00B05100" w:rsidP="004A6D2F">
      <w:r>
        <w:separator/>
      </w:r>
    </w:p>
  </w:footnote>
  <w:footnote w:type="continuationSeparator" w:id="0">
    <w:p w14:paraId="4193A1E3" w14:textId="77777777" w:rsidR="00B05100" w:rsidRDefault="00B05100" w:rsidP="004A6D2F">
      <w:r>
        <w:continuationSeparator/>
      </w:r>
    </w:p>
  </w:footnote>
  <w:footnote w:type="continuationNotice" w:id="1">
    <w:p w14:paraId="08D6DCA7" w14:textId="77777777" w:rsidR="00B05100" w:rsidRDefault="00B05100">
      <w:pPr>
        <w:spacing w:after="0"/>
      </w:pPr>
    </w:p>
  </w:footnote>
  <w:footnote w:id="2">
    <w:p w14:paraId="03C72BA4" w14:textId="77777777" w:rsidR="001A1BA1" w:rsidRDefault="001A1BA1" w:rsidP="001A1BA1">
      <w:pPr>
        <w:pStyle w:val="FootnoteText"/>
      </w:pPr>
      <w:r>
        <w:rPr>
          <w:rStyle w:val="FootnoteReference"/>
        </w:rPr>
        <w:footnoteRef/>
      </w:r>
      <w:r>
        <w:t xml:space="preserve"> </w:t>
      </w:r>
      <w:r w:rsidRPr="00616F3F">
        <w:t>the Local Authorities (Executive Arrangements) (Meetings and Access to Information) (England) Regulations 2012/2089 (Regulation 13(4))</w:t>
      </w:r>
      <w:r>
        <w:t xml:space="preserve"> and </w:t>
      </w:r>
      <w:r w:rsidRPr="00616F3F">
        <w:t>The Openness of Local Government Bodies Regulations 2014/2095 (Regulation 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3E0A0" w14:textId="77777777" w:rsidR="005B064B" w:rsidRDefault="005B06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95"/>
      <w:gridCol w:w="3095"/>
      <w:gridCol w:w="3095"/>
    </w:tblGrid>
    <w:tr w:rsidR="0287E82A" w14:paraId="428AB7D6" w14:textId="77777777" w:rsidTr="0287E82A">
      <w:trPr>
        <w:trHeight w:val="300"/>
      </w:trPr>
      <w:tc>
        <w:tcPr>
          <w:tcW w:w="3095" w:type="dxa"/>
        </w:tcPr>
        <w:p w14:paraId="335EDB8C" w14:textId="1DA382D9" w:rsidR="0287E82A" w:rsidRDefault="0287E82A" w:rsidP="0287E82A">
          <w:pPr>
            <w:pStyle w:val="Header"/>
            <w:ind w:left="-115"/>
          </w:pPr>
        </w:p>
      </w:tc>
      <w:tc>
        <w:tcPr>
          <w:tcW w:w="3095" w:type="dxa"/>
        </w:tcPr>
        <w:p w14:paraId="063D6891" w14:textId="4377102D" w:rsidR="0287E82A" w:rsidRDefault="0287E82A" w:rsidP="0287E82A">
          <w:pPr>
            <w:pStyle w:val="Header"/>
            <w:jc w:val="center"/>
          </w:pPr>
        </w:p>
      </w:tc>
      <w:tc>
        <w:tcPr>
          <w:tcW w:w="3095" w:type="dxa"/>
        </w:tcPr>
        <w:p w14:paraId="5966C48B" w14:textId="4772D183" w:rsidR="0287E82A" w:rsidRDefault="0287E82A" w:rsidP="0287E82A">
          <w:pPr>
            <w:pStyle w:val="Header"/>
            <w:ind w:right="-115"/>
            <w:jc w:val="right"/>
          </w:pPr>
        </w:p>
      </w:tc>
    </w:tr>
  </w:tbl>
  <w:p w14:paraId="2B32A097" w14:textId="03258520" w:rsidR="0287E82A" w:rsidRDefault="0287E82A" w:rsidP="0287E8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C2914" w14:textId="77777777" w:rsidR="00D5547E" w:rsidRDefault="00C05260" w:rsidP="00D5547E">
    <w:pPr>
      <w:pStyle w:val="Header"/>
      <w:jc w:val="right"/>
    </w:pPr>
    <w:r>
      <w:rPr>
        <w:noProof/>
      </w:rPr>
      <w:drawing>
        <wp:inline distT="0" distB="0" distL="0" distR="0" wp14:anchorId="1D64DAF5" wp14:editId="4130AF70">
          <wp:extent cx="838200" cy="1119505"/>
          <wp:effectExtent l="0" t="0" r="0" b="4445"/>
          <wp:docPr id="1" name="Picture 1" title="Oxford City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cc_bl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11195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FDEC5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570EF9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B46E4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B90A31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B34764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F06035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AC2530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4CAEA8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488150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7E4314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402"/>
    <w:multiLevelType w:val="multilevel"/>
    <w:tmpl w:val="FFFFFFFF"/>
    <w:lvl w:ilvl="0">
      <w:numFmt w:val="bullet"/>
      <w:lvlText w:val=""/>
      <w:lvlJc w:val="left"/>
      <w:pPr>
        <w:ind w:left="1042" w:hanging="425"/>
      </w:pPr>
      <w:rPr>
        <w:rFonts w:ascii="Symbol" w:hAnsi="Symbol" w:cs="Symbol"/>
        <w:b w:val="0"/>
        <w:bCs w:val="0"/>
        <w:w w:val="100"/>
        <w:sz w:val="24"/>
        <w:szCs w:val="24"/>
      </w:rPr>
    </w:lvl>
    <w:lvl w:ilvl="1">
      <w:numFmt w:val="bullet"/>
      <w:lvlText w:val="•"/>
      <w:lvlJc w:val="left"/>
      <w:pPr>
        <w:ind w:left="1826" w:hanging="425"/>
      </w:pPr>
    </w:lvl>
    <w:lvl w:ilvl="2">
      <w:numFmt w:val="bullet"/>
      <w:lvlText w:val="•"/>
      <w:lvlJc w:val="left"/>
      <w:pPr>
        <w:ind w:left="2613" w:hanging="425"/>
      </w:pPr>
    </w:lvl>
    <w:lvl w:ilvl="3">
      <w:numFmt w:val="bullet"/>
      <w:lvlText w:val="•"/>
      <w:lvlJc w:val="left"/>
      <w:pPr>
        <w:ind w:left="3399" w:hanging="425"/>
      </w:pPr>
    </w:lvl>
    <w:lvl w:ilvl="4">
      <w:numFmt w:val="bullet"/>
      <w:lvlText w:val="•"/>
      <w:lvlJc w:val="left"/>
      <w:pPr>
        <w:ind w:left="4186" w:hanging="425"/>
      </w:pPr>
    </w:lvl>
    <w:lvl w:ilvl="5">
      <w:numFmt w:val="bullet"/>
      <w:lvlText w:val="•"/>
      <w:lvlJc w:val="left"/>
      <w:pPr>
        <w:ind w:left="4973" w:hanging="425"/>
      </w:pPr>
    </w:lvl>
    <w:lvl w:ilvl="6">
      <w:numFmt w:val="bullet"/>
      <w:lvlText w:val="•"/>
      <w:lvlJc w:val="left"/>
      <w:pPr>
        <w:ind w:left="5759" w:hanging="425"/>
      </w:pPr>
    </w:lvl>
    <w:lvl w:ilvl="7">
      <w:numFmt w:val="bullet"/>
      <w:lvlText w:val="•"/>
      <w:lvlJc w:val="left"/>
      <w:pPr>
        <w:ind w:left="6546" w:hanging="425"/>
      </w:pPr>
    </w:lvl>
    <w:lvl w:ilvl="8">
      <w:numFmt w:val="bullet"/>
      <w:lvlText w:val="•"/>
      <w:lvlJc w:val="left"/>
      <w:pPr>
        <w:ind w:left="7333" w:hanging="425"/>
      </w:pPr>
    </w:lvl>
  </w:abstractNum>
  <w:abstractNum w:abstractNumId="11" w15:restartNumberingAfterBreak="0">
    <w:nsid w:val="038C30BB"/>
    <w:multiLevelType w:val="multilevel"/>
    <w:tmpl w:val="E67CE66C"/>
    <w:styleLink w:val="StyleNumberedLeft0cmHanging075cm"/>
    <w:lvl w:ilvl="0">
      <w:start w:val="1"/>
      <w:numFmt w:val="decimal"/>
      <w:pStyle w:val="ListParagraph"/>
      <w:lvlText w:val="%1."/>
      <w:lvlJc w:val="left"/>
      <w:pPr>
        <w:ind w:left="360" w:hanging="360"/>
      </w:pPr>
      <w:rPr>
        <w:rFonts w:ascii="Arial" w:hAnsi="Arial" w:hint="default"/>
        <w:color w:val="000000"/>
        <w:sz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03CF5C54"/>
    <w:multiLevelType w:val="multilevel"/>
    <w:tmpl w:val="43D6D2FA"/>
    <w:styleLink w:val="StyleBulletedSymbolsymbolLeft063cmHanging063cm"/>
    <w:lvl w:ilvl="0">
      <w:start w:val="1"/>
      <w:numFmt w:val="bullet"/>
      <w:lvlText w:val=""/>
      <w:lvlJc w:val="left"/>
      <w:pPr>
        <w:ind w:left="720" w:hanging="360"/>
      </w:pPr>
      <w:rPr>
        <w:rFonts w:ascii="Symbol" w:hAnsi="Symbol"/>
        <w:color w:val="00000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49C05EF"/>
    <w:multiLevelType w:val="multilevel"/>
    <w:tmpl w:val="43D6D2FA"/>
    <w:numStyleLink w:val="StyleBulletedSymbolsymbolLeft063cmHanging063cm"/>
  </w:abstractNum>
  <w:abstractNum w:abstractNumId="14" w15:restartNumberingAfterBreak="0">
    <w:nsid w:val="092922A7"/>
    <w:multiLevelType w:val="hybridMultilevel"/>
    <w:tmpl w:val="2B26D4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0A731236"/>
    <w:multiLevelType w:val="multilevel"/>
    <w:tmpl w:val="1700ACF6"/>
    <w:lvl w:ilvl="0">
      <w:start w:val="1"/>
      <w:numFmt w:val="decimal"/>
      <w:lvlText w:val="%1."/>
      <w:lvlJc w:val="left"/>
      <w:pPr>
        <w:ind w:left="720" w:hanging="360"/>
      </w:pPr>
      <w:rPr>
        <w:rFonts w:ascii="Arial" w:hAnsi="Arial"/>
        <w:color w:val="00000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0CE1B843"/>
    <w:multiLevelType w:val="multilevel"/>
    <w:tmpl w:val="879048A6"/>
    <w:lvl w:ilvl="0">
      <w:start w:val="1"/>
      <w:numFmt w:val="decimal"/>
      <w:lvlText w:val="%1."/>
      <w:lvlJc w:val="left"/>
      <w:pPr>
        <w:ind w:left="36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AE152B2"/>
    <w:multiLevelType w:val="hybridMultilevel"/>
    <w:tmpl w:val="9BBCF39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1EFE3CBC"/>
    <w:multiLevelType w:val="hybridMultilevel"/>
    <w:tmpl w:val="8BD022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0980FC5"/>
    <w:multiLevelType w:val="hybridMultilevel"/>
    <w:tmpl w:val="5B36B17E"/>
    <w:lvl w:ilvl="0" w:tplc="AFA25F0A">
      <w:start w:val="1"/>
      <w:numFmt w:val="bullet"/>
      <w:pStyle w:val="Bulletpoints"/>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22263A6A"/>
    <w:multiLevelType w:val="multilevel"/>
    <w:tmpl w:val="43D6D2FA"/>
    <w:numStyleLink w:val="StyleBulletedSymbolsymbolLeft063cmHanging063cm"/>
  </w:abstractNum>
  <w:abstractNum w:abstractNumId="21" w15:restartNumberingAfterBreak="0">
    <w:nsid w:val="2C0A3AC3"/>
    <w:multiLevelType w:val="hybridMultilevel"/>
    <w:tmpl w:val="2B326A2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AE3586B"/>
    <w:multiLevelType w:val="hybridMultilevel"/>
    <w:tmpl w:val="88CA416C"/>
    <w:lvl w:ilvl="0" w:tplc="0DDAB9E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3B0B4923"/>
    <w:multiLevelType w:val="hybridMultilevel"/>
    <w:tmpl w:val="2D8835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0343E22"/>
    <w:multiLevelType w:val="hybridMultilevel"/>
    <w:tmpl w:val="3E3ABABA"/>
    <w:lvl w:ilvl="0" w:tplc="081A0C3A">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40CC19FC"/>
    <w:multiLevelType w:val="hybridMultilevel"/>
    <w:tmpl w:val="24321A4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42027960"/>
    <w:multiLevelType w:val="hybridMultilevel"/>
    <w:tmpl w:val="501CC3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37F1004"/>
    <w:multiLevelType w:val="hybridMultilevel"/>
    <w:tmpl w:val="4E022B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612530E"/>
    <w:multiLevelType w:val="hybridMultilevel"/>
    <w:tmpl w:val="CEECF38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46764EAF"/>
    <w:multiLevelType w:val="hybridMultilevel"/>
    <w:tmpl w:val="AB6257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D8F2C59"/>
    <w:multiLevelType w:val="hybridMultilevel"/>
    <w:tmpl w:val="396C5B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F1818E4"/>
    <w:multiLevelType w:val="multilevel"/>
    <w:tmpl w:val="9056D68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lowerLetter"/>
      <w:lvlText w:val="%3."/>
      <w:lvlJc w:val="left"/>
      <w:pPr>
        <w:ind w:left="1800" w:hanging="360"/>
      </w:pPr>
      <w:rPr>
        <w:rFonts w:hint="default"/>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2" w15:restartNumberingAfterBreak="0">
    <w:nsid w:val="562B6F75"/>
    <w:multiLevelType w:val="multilevel"/>
    <w:tmpl w:val="50CCF89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3" w15:restartNumberingAfterBreak="0">
    <w:nsid w:val="56565907"/>
    <w:multiLevelType w:val="hybridMultilevel"/>
    <w:tmpl w:val="55949A3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5ABA5FD8"/>
    <w:multiLevelType w:val="multilevel"/>
    <w:tmpl w:val="43D6D2FA"/>
    <w:numStyleLink w:val="StyleBulletedSymbolsymbolLeft063cmHanging063cm"/>
  </w:abstractNum>
  <w:abstractNum w:abstractNumId="35" w15:restartNumberingAfterBreak="0">
    <w:nsid w:val="5C7E19E2"/>
    <w:multiLevelType w:val="hybridMultilevel"/>
    <w:tmpl w:val="3146A6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2A22831"/>
    <w:multiLevelType w:val="multilevel"/>
    <w:tmpl w:val="43D6D2FA"/>
    <w:numStyleLink w:val="StyleBulletedSymbolsymbolLeft063cmHanging063cm"/>
  </w:abstractNum>
  <w:abstractNum w:abstractNumId="37" w15:restartNumberingAfterBreak="0">
    <w:nsid w:val="69829246"/>
    <w:multiLevelType w:val="multilevel"/>
    <w:tmpl w:val="8EEA275E"/>
    <w:lvl w:ilvl="0">
      <w:start w:val="1"/>
      <w:numFmt w:val="decimal"/>
      <w:lvlText w:val="%1."/>
      <w:lvlJc w:val="left"/>
      <w:pPr>
        <w:ind w:left="36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6A9F2B3C"/>
    <w:multiLevelType w:val="multilevel"/>
    <w:tmpl w:val="4C5820D8"/>
    <w:lvl w:ilvl="0">
      <w:start w:val="1"/>
      <w:numFmt w:val="decimal"/>
      <w:pStyle w:val="Numberedlist"/>
      <w:lvlText w:val="%1."/>
      <w:lvlJc w:val="left"/>
      <w:pPr>
        <w:ind w:left="720" w:hanging="360"/>
      </w:pPr>
      <w:rPr>
        <w:rFonts w:ascii="Arial" w:hAnsi="Arial"/>
        <w:color w:val="00000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6B1550E4"/>
    <w:multiLevelType w:val="hybridMultilevel"/>
    <w:tmpl w:val="DD86F5EA"/>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C6539BA"/>
    <w:multiLevelType w:val="hybridMultilevel"/>
    <w:tmpl w:val="C1CC3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FD16223"/>
    <w:multiLevelType w:val="hybridMultilevel"/>
    <w:tmpl w:val="E67CE66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2" w15:restartNumberingAfterBreak="0">
    <w:nsid w:val="75F76972"/>
    <w:multiLevelType w:val="hybridMultilevel"/>
    <w:tmpl w:val="0EF429D8"/>
    <w:lvl w:ilvl="0" w:tplc="CF64A572">
      <w:start w:val="1"/>
      <w:numFmt w:val="bullet"/>
      <w:lvlText w:val=""/>
      <w:lvlJc w:val="left"/>
      <w:pPr>
        <w:ind w:left="720" w:hanging="360"/>
      </w:pPr>
      <w:rPr>
        <w:rFonts w:ascii="Symbol" w:hAnsi="Symbol" w:hint="default"/>
        <w:color w:val="A6A6A6" w:themeColor="background1" w:themeShade="A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98365C6"/>
    <w:multiLevelType w:val="multilevel"/>
    <w:tmpl w:val="E67CE66C"/>
    <w:numStyleLink w:val="StyleNumberedLeft0cmHanging075cm"/>
  </w:abstractNum>
  <w:abstractNum w:abstractNumId="44" w15:restartNumberingAfterBreak="0">
    <w:nsid w:val="7C300CEE"/>
    <w:multiLevelType w:val="hybridMultilevel"/>
    <w:tmpl w:val="D5140A3A"/>
    <w:lvl w:ilvl="0" w:tplc="94D425EC">
      <w:start w:val="1"/>
      <w:numFmt w:val="bullet"/>
      <w:pStyle w:val="dBulletpoints"/>
      <w:lvlText w:val=""/>
      <w:lvlJc w:val="left"/>
      <w:pPr>
        <w:ind w:left="1211" w:hanging="360"/>
      </w:pPr>
      <w:rPr>
        <w:rFonts w:ascii="Symbol" w:hAnsi="Symbol" w:hint="default"/>
      </w:rPr>
    </w:lvl>
    <w:lvl w:ilvl="1" w:tplc="08090003">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num w:numId="1" w16cid:durableId="1416632117">
    <w:abstractNumId w:val="37"/>
  </w:num>
  <w:num w:numId="2" w16cid:durableId="295525028">
    <w:abstractNumId w:val="16"/>
  </w:num>
  <w:num w:numId="3" w16cid:durableId="449398042">
    <w:abstractNumId w:val="33"/>
  </w:num>
  <w:num w:numId="4" w16cid:durableId="155997720">
    <w:abstractNumId w:val="39"/>
  </w:num>
  <w:num w:numId="5" w16cid:durableId="684749378">
    <w:abstractNumId w:val="28"/>
  </w:num>
  <w:num w:numId="6" w16cid:durableId="432477665">
    <w:abstractNumId w:val="21"/>
  </w:num>
  <w:num w:numId="7" w16cid:durableId="1168204831">
    <w:abstractNumId w:val="35"/>
  </w:num>
  <w:num w:numId="8" w16cid:durableId="155805248">
    <w:abstractNumId w:val="41"/>
  </w:num>
  <w:num w:numId="9" w16cid:durableId="1582835092">
    <w:abstractNumId w:val="27"/>
  </w:num>
  <w:num w:numId="10" w16cid:durableId="1896813794">
    <w:abstractNumId w:val="23"/>
  </w:num>
  <w:num w:numId="11" w16cid:durableId="1223564051">
    <w:abstractNumId w:val="14"/>
  </w:num>
  <w:num w:numId="12" w16cid:durableId="1616984022">
    <w:abstractNumId w:val="18"/>
  </w:num>
  <w:num w:numId="13" w16cid:durableId="611942354">
    <w:abstractNumId w:val="30"/>
  </w:num>
  <w:num w:numId="14" w16cid:durableId="48847933">
    <w:abstractNumId w:val="29"/>
  </w:num>
  <w:num w:numId="15" w16cid:durableId="1594360626">
    <w:abstractNumId w:val="11"/>
  </w:num>
  <w:num w:numId="16" w16cid:durableId="806975598">
    <w:abstractNumId w:val="43"/>
  </w:num>
  <w:num w:numId="17" w16cid:durableId="1143692141">
    <w:abstractNumId w:val="19"/>
  </w:num>
  <w:num w:numId="18" w16cid:durableId="290284048">
    <w:abstractNumId w:val="12"/>
  </w:num>
  <w:num w:numId="19" w16cid:durableId="346717609">
    <w:abstractNumId w:val="34"/>
  </w:num>
  <w:num w:numId="20" w16cid:durableId="490602500">
    <w:abstractNumId w:val="13"/>
  </w:num>
  <w:num w:numId="21" w16cid:durableId="1664510238">
    <w:abstractNumId w:val="36"/>
  </w:num>
  <w:num w:numId="22" w16cid:durableId="1264797914">
    <w:abstractNumId w:val="20"/>
  </w:num>
  <w:num w:numId="23" w16cid:durableId="1892495712">
    <w:abstractNumId w:val="24"/>
  </w:num>
  <w:num w:numId="24" w16cid:durableId="1551064890">
    <w:abstractNumId w:val="15"/>
  </w:num>
  <w:num w:numId="25" w16cid:durableId="637807967">
    <w:abstractNumId w:val="38"/>
  </w:num>
  <w:num w:numId="26" w16cid:durableId="154421734">
    <w:abstractNumId w:val="9"/>
  </w:num>
  <w:num w:numId="27" w16cid:durableId="1886019358">
    <w:abstractNumId w:val="8"/>
  </w:num>
  <w:num w:numId="28" w16cid:durableId="1361129502">
    <w:abstractNumId w:val="7"/>
  </w:num>
  <w:num w:numId="29" w16cid:durableId="2022001061">
    <w:abstractNumId w:val="6"/>
  </w:num>
  <w:num w:numId="30" w16cid:durableId="1058166686">
    <w:abstractNumId w:val="5"/>
  </w:num>
  <w:num w:numId="31" w16cid:durableId="422143662">
    <w:abstractNumId w:val="4"/>
  </w:num>
  <w:num w:numId="32" w16cid:durableId="616378356">
    <w:abstractNumId w:val="3"/>
  </w:num>
  <w:num w:numId="33" w16cid:durableId="1832872710">
    <w:abstractNumId w:val="2"/>
  </w:num>
  <w:num w:numId="34" w16cid:durableId="453138125">
    <w:abstractNumId w:val="1"/>
  </w:num>
  <w:num w:numId="35" w16cid:durableId="1932004242">
    <w:abstractNumId w:val="0"/>
  </w:num>
  <w:num w:numId="36" w16cid:durableId="1819808808">
    <w:abstractNumId w:val="31"/>
  </w:num>
  <w:num w:numId="37" w16cid:durableId="840047793">
    <w:abstractNumId w:val="32"/>
  </w:num>
  <w:num w:numId="38" w16cid:durableId="1263950813">
    <w:abstractNumId w:val="42"/>
  </w:num>
  <w:num w:numId="39" w16cid:durableId="327559103">
    <w:abstractNumId w:val="10"/>
  </w:num>
  <w:num w:numId="40" w16cid:durableId="1311447890">
    <w:abstractNumId w:val="44"/>
  </w:num>
  <w:num w:numId="41" w16cid:durableId="1370304610">
    <w:abstractNumId w:val="40"/>
  </w:num>
  <w:num w:numId="42" w16cid:durableId="1152941978">
    <w:abstractNumId w:val="22"/>
  </w:num>
  <w:num w:numId="43" w16cid:durableId="491873441">
    <w:abstractNumId w:val="25"/>
  </w:num>
  <w:num w:numId="44" w16cid:durableId="2006741231">
    <w:abstractNumId w:val="26"/>
  </w:num>
  <w:num w:numId="45" w16cid:durableId="473832940">
    <w:abstractNumId w:val="17"/>
  </w:num>
  <w:num w:numId="46" w16cid:durableId="50293914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B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1"/>
  <w:stylePaneSortMethod w:val="0000"/>
  <w:documentProtection w:edit="trackedChanges" w:enforcement="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3B71"/>
    <w:rsid w:val="00005CE3"/>
    <w:rsid w:val="000117D4"/>
    <w:rsid w:val="0001511A"/>
    <w:rsid w:val="00022C25"/>
    <w:rsid w:val="000314D7"/>
    <w:rsid w:val="00034054"/>
    <w:rsid w:val="00045F8B"/>
    <w:rsid w:val="00046D2B"/>
    <w:rsid w:val="00056263"/>
    <w:rsid w:val="00064D8A"/>
    <w:rsid w:val="00064F82"/>
    <w:rsid w:val="00066510"/>
    <w:rsid w:val="000768CF"/>
    <w:rsid w:val="00077523"/>
    <w:rsid w:val="0008425C"/>
    <w:rsid w:val="000B1DFC"/>
    <w:rsid w:val="000C089F"/>
    <w:rsid w:val="000C260D"/>
    <w:rsid w:val="000C3928"/>
    <w:rsid w:val="000C51D6"/>
    <w:rsid w:val="000C5E8E"/>
    <w:rsid w:val="000E44DE"/>
    <w:rsid w:val="000E5106"/>
    <w:rsid w:val="000F3878"/>
    <w:rsid w:val="000F4751"/>
    <w:rsid w:val="0010524C"/>
    <w:rsid w:val="00111FB1"/>
    <w:rsid w:val="00113418"/>
    <w:rsid w:val="00115CB3"/>
    <w:rsid w:val="00117C1C"/>
    <w:rsid w:val="00124E5C"/>
    <w:rsid w:val="00134275"/>
    <w:rsid w:val="001356F1"/>
    <w:rsid w:val="00136908"/>
    <w:rsid w:val="00136994"/>
    <w:rsid w:val="0014128E"/>
    <w:rsid w:val="00147565"/>
    <w:rsid w:val="00151888"/>
    <w:rsid w:val="00155C24"/>
    <w:rsid w:val="00170A2D"/>
    <w:rsid w:val="001808BC"/>
    <w:rsid w:val="00182B81"/>
    <w:rsid w:val="0018619D"/>
    <w:rsid w:val="001A011E"/>
    <w:rsid w:val="001A066A"/>
    <w:rsid w:val="001A13E6"/>
    <w:rsid w:val="001A1BA1"/>
    <w:rsid w:val="001A5731"/>
    <w:rsid w:val="001B065A"/>
    <w:rsid w:val="001B42C3"/>
    <w:rsid w:val="001C0DD5"/>
    <w:rsid w:val="001C5D5E"/>
    <w:rsid w:val="001D678D"/>
    <w:rsid w:val="001E03F8"/>
    <w:rsid w:val="001E1678"/>
    <w:rsid w:val="001E3376"/>
    <w:rsid w:val="001E3434"/>
    <w:rsid w:val="001E61DD"/>
    <w:rsid w:val="0020366A"/>
    <w:rsid w:val="002069B3"/>
    <w:rsid w:val="002070C7"/>
    <w:rsid w:val="002172D7"/>
    <w:rsid w:val="00226F8A"/>
    <w:rsid w:val="002329CF"/>
    <w:rsid w:val="00232F5B"/>
    <w:rsid w:val="00241830"/>
    <w:rsid w:val="00247C29"/>
    <w:rsid w:val="00260467"/>
    <w:rsid w:val="00263EA3"/>
    <w:rsid w:val="00284F85"/>
    <w:rsid w:val="002870C3"/>
    <w:rsid w:val="00290915"/>
    <w:rsid w:val="002A22E2"/>
    <w:rsid w:val="002A74AE"/>
    <w:rsid w:val="002B46A9"/>
    <w:rsid w:val="002B6836"/>
    <w:rsid w:val="002C0EC5"/>
    <w:rsid w:val="002C4FC6"/>
    <w:rsid w:val="002C64F7"/>
    <w:rsid w:val="002D0650"/>
    <w:rsid w:val="002D37D5"/>
    <w:rsid w:val="002D57D7"/>
    <w:rsid w:val="002D6B06"/>
    <w:rsid w:val="002F41F2"/>
    <w:rsid w:val="00301BF3"/>
    <w:rsid w:val="0030208D"/>
    <w:rsid w:val="00323418"/>
    <w:rsid w:val="003273FD"/>
    <w:rsid w:val="00330A12"/>
    <w:rsid w:val="0033565F"/>
    <w:rsid w:val="003357BF"/>
    <w:rsid w:val="00340B77"/>
    <w:rsid w:val="00354567"/>
    <w:rsid w:val="00364C68"/>
    <w:rsid w:val="00364FAD"/>
    <w:rsid w:val="0036738F"/>
    <w:rsid w:val="0036759C"/>
    <w:rsid w:val="00367AE5"/>
    <w:rsid w:val="00367D71"/>
    <w:rsid w:val="00372A82"/>
    <w:rsid w:val="0038150A"/>
    <w:rsid w:val="003A147B"/>
    <w:rsid w:val="003A6736"/>
    <w:rsid w:val="003B6E75"/>
    <w:rsid w:val="003B7DA1"/>
    <w:rsid w:val="003C1CAF"/>
    <w:rsid w:val="003D0379"/>
    <w:rsid w:val="003D2574"/>
    <w:rsid w:val="003D4C59"/>
    <w:rsid w:val="003E4C33"/>
    <w:rsid w:val="003F4267"/>
    <w:rsid w:val="00400BB1"/>
    <w:rsid w:val="00404032"/>
    <w:rsid w:val="0040736F"/>
    <w:rsid w:val="00412C1F"/>
    <w:rsid w:val="00421CB2"/>
    <w:rsid w:val="004268B9"/>
    <w:rsid w:val="00433B96"/>
    <w:rsid w:val="00442C9D"/>
    <w:rsid w:val="00443D52"/>
    <w:rsid w:val="004440F1"/>
    <w:rsid w:val="004456DD"/>
    <w:rsid w:val="00446CDF"/>
    <w:rsid w:val="004521B7"/>
    <w:rsid w:val="00452865"/>
    <w:rsid w:val="004548E0"/>
    <w:rsid w:val="00462AB5"/>
    <w:rsid w:val="00465EAF"/>
    <w:rsid w:val="00472916"/>
    <w:rsid w:val="004738C5"/>
    <w:rsid w:val="0047737B"/>
    <w:rsid w:val="00491046"/>
    <w:rsid w:val="00496078"/>
    <w:rsid w:val="004A2AC7"/>
    <w:rsid w:val="004A39C3"/>
    <w:rsid w:val="004A6D2F"/>
    <w:rsid w:val="004B11AE"/>
    <w:rsid w:val="004C1681"/>
    <w:rsid w:val="004C2887"/>
    <w:rsid w:val="004C71AB"/>
    <w:rsid w:val="004D2626"/>
    <w:rsid w:val="004D6E26"/>
    <w:rsid w:val="004D77D3"/>
    <w:rsid w:val="004E2959"/>
    <w:rsid w:val="004F20EF"/>
    <w:rsid w:val="004F554F"/>
    <w:rsid w:val="0050321C"/>
    <w:rsid w:val="005074D1"/>
    <w:rsid w:val="00507ECC"/>
    <w:rsid w:val="00512370"/>
    <w:rsid w:val="00523261"/>
    <w:rsid w:val="00526E5C"/>
    <w:rsid w:val="00531E16"/>
    <w:rsid w:val="00546324"/>
    <w:rsid w:val="0054712D"/>
    <w:rsid w:val="00547EF6"/>
    <w:rsid w:val="0055056C"/>
    <w:rsid w:val="005570B5"/>
    <w:rsid w:val="00566DCF"/>
    <w:rsid w:val="00567E18"/>
    <w:rsid w:val="00575F5F"/>
    <w:rsid w:val="00576CD0"/>
    <w:rsid w:val="00581805"/>
    <w:rsid w:val="00585F76"/>
    <w:rsid w:val="005867CB"/>
    <w:rsid w:val="00586E67"/>
    <w:rsid w:val="005A34E4"/>
    <w:rsid w:val="005A6610"/>
    <w:rsid w:val="005B064B"/>
    <w:rsid w:val="005B17F2"/>
    <w:rsid w:val="005B7FB0"/>
    <w:rsid w:val="005C35A5"/>
    <w:rsid w:val="005C4D09"/>
    <w:rsid w:val="005C577C"/>
    <w:rsid w:val="005C7184"/>
    <w:rsid w:val="005D0621"/>
    <w:rsid w:val="005D1E27"/>
    <w:rsid w:val="005D2A3E"/>
    <w:rsid w:val="005E022E"/>
    <w:rsid w:val="005E2B45"/>
    <w:rsid w:val="005E5215"/>
    <w:rsid w:val="005F29A2"/>
    <w:rsid w:val="005F7F7E"/>
    <w:rsid w:val="00614693"/>
    <w:rsid w:val="00622741"/>
    <w:rsid w:val="00623C2F"/>
    <w:rsid w:val="00630829"/>
    <w:rsid w:val="00633578"/>
    <w:rsid w:val="0063408C"/>
    <w:rsid w:val="00635391"/>
    <w:rsid w:val="00635E3E"/>
    <w:rsid w:val="00637068"/>
    <w:rsid w:val="006419CA"/>
    <w:rsid w:val="00643855"/>
    <w:rsid w:val="00650811"/>
    <w:rsid w:val="00656D0A"/>
    <w:rsid w:val="00661D3E"/>
    <w:rsid w:val="006765E8"/>
    <w:rsid w:val="00692627"/>
    <w:rsid w:val="006931E4"/>
    <w:rsid w:val="006969E7"/>
    <w:rsid w:val="006A3643"/>
    <w:rsid w:val="006B10C2"/>
    <w:rsid w:val="006B2DE1"/>
    <w:rsid w:val="006B48D3"/>
    <w:rsid w:val="006B53CC"/>
    <w:rsid w:val="006C2A29"/>
    <w:rsid w:val="006C4EB8"/>
    <w:rsid w:val="006C64CF"/>
    <w:rsid w:val="006C767F"/>
    <w:rsid w:val="006C7D2E"/>
    <w:rsid w:val="006D17B1"/>
    <w:rsid w:val="006D309B"/>
    <w:rsid w:val="006D4752"/>
    <w:rsid w:val="006D708A"/>
    <w:rsid w:val="006E14C1"/>
    <w:rsid w:val="006E1FA1"/>
    <w:rsid w:val="006E419F"/>
    <w:rsid w:val="006E614E"/>
    <w:rsid w:val="006F0292"/>
    <w:rsid w:val="006F27FA"/>
    <w:rsid w:val="006F3688"/>
    <w:rsid w:val="006F416B"/>
    <w:rsid w:val="006F519B"/>
    <w:rsid w:val="00713675"/>
    <w:rsid w:val="00715823"/>
    <w:rsid w:val="007253EF"/>
    <w:rsid w:val="00737B93"/>
    <w:rsid w:val="00745BF0"/>
    <w:rsid w:val="00746B15"/>
    <w:rsid w:val="00751EA3"/>
    <w:rsid w:val="007615FE"/>
    <w:rsid w:val="00764BAF"/>
    <w:rsid w:val="0076655C"/>
    <w:rsid w:val="007742DC"/>
    <w:rsid w:val="00791437"/>
    <w:rsid w:val="007967CA"/>
    <w:rsid w:val="007B0C2C"/>
    <w:rsid w:val="007B278E"/>
    <w:rsid w:val="007B3A2C"/>
    <w:rsid w:val="007B5CA2"/>
    <w:rsid w:val="007C1F3D"/>
    <w:rsid w:val="007C5C23"/>
    <w:rsid w:val="007D2642"/>
    <w:rsid w:val="007E1312"/>
    <w:rsid w:val="007E2A26"/>
    <w:rsid w:val="007F2348"/>
    <w:rsid w:val="007F4757"/>
    <w:rsid w:val="00803F07"/>
    <w:rsid w:val="0080749A"/>
    <w:rsid w:val="00821FB8"/>
    <w:rsid w:val="00822ACD"/>
    <w:rsid w:val="00833308"/>
    <w:rsid w:val="00855C66"/>
    <w:rsid w:val="0087065E"/>
    <w:rsid w:val="00871EE4"/>
    <w:rsid w:val="008954DF"/>
    <w:rsid w:val="008A34D3"/>
    <w:rsid w:val="008B293F"/>
    <w:rsid w:val="008B7371"/>
    <w:rsid w:val="008C3026"/>
    <w:rsid w:val="008D2347"/>
    <w:rsid w:val="008D3DDB"/>
    <w:rsid w:val="008D5F6E"/>
    <w:rsid w:val="008F1BB4"/>
    <w:rsid w:val="008F3444"/>
    <w:rsid w:val="008F3B04"/>
    <w:rsid w:val="008F573F"/>
    <w:rsid w:val="008F6E48"/>
    <w:rsid w:val="009034EC"/>
    <w:rsid w:val="0093067A"/>
    <w:rsid w:val="00941C60"/>
    <w:rsid w:val="00941FD1"/>
    <w:rsid w:val="0094443D"/>
    <w:rsid w:val="00945ACF"/>
    <w:rsid w:val="0096297B"/>
    <w:rsid w:val="00966D42"/>
    <w:rsid w:val="00971689"/>
    <w:rsid w:val="0097170F"/>
    <w:rsid w:val="00973E90"/>
    <w:rsid w:val="00975B07"/>
    <w:rsid w:val="00980B4A"/>
    <w:rsid w:val="00986428"/>
    <w:rsid w:val="00990563"/>
    <w:rsid w:val="0099164D"/>
    <w:rsid w:val="009B3E8A"/>
    <w:rsid w:val="009D3627"/>
    <w:rsid w:val="009D7080"/>
    <w:rsid w:val="009E3D0A"/>
    <w:rsid w:val="009E51FC"/>
    <w:rsid w:val="009E68E0"/>
    <w:rsid w:val="009F1D28"/>
    <w:rsid w:val="009F6BC0"/>
    <w:rsid w:val="009F7618"/>
    <w:rsid w:val="00A03B76"/>
    <w:rsid w:val="00A04D23"/>
    <w:rsid w:val="00A06766"/>
    <w:rsid w:val="00A13765"/>
    <w:rsid w:val="00A21B12"/>
    <w:rsid w:val="00A23F80"/>
    <w:rsid w:val="00A258F6"/>
    <w:rsid w:val="00A338F3"/>
    <w:rsid w:val="00A46E98"/>
    <w:rsid w:val="00A6352B"/>
    <w:rsid w:val="00A701B5"/>
    <w:rsid w:val="00A714BB"/>
    <w:rsid w:val="00A77147"/>
    <w:rsid w:val="00A824F2"/>
    <w:rsid w:val="00A92D8F"/>
    <w:rsid w:val="00AA0194"/>
    <w:rsid w:val="00AB24E9"/>
    <w:rsid w:val="00AB2988"/>
    <w:rsid w:val="00AB2A81"/>
    <w:rsid w:val="00AB3F66"/>
    <w:rsid w:val="00AB7999"/>
    <w:rsid w:val="00AD0A83"/>
    <w:rsid w:val="00AD3292"/>
    <w:rsid w:val="00AE1684"/>
    <w:rsid w:val="00AE262E"/>
    <w:rsid w:val="00AE7AF0"/>
    <w:rsid w:val="00B05100"/>
    <w:rsid w:val="00B13A1E"/>
    <w:rsid w:val="00B35BD0"/>
    <w:rsid w:val="00B500CA"/>
    <w:rsid w:val="00B6369C"/>
    <w:rsid w:val="00B86314"/>
    <w:rsid w:val="00B93FFA"/>
    <w:rsid w:val="00BA1C2E"/>
    <w:rsid w:val="00BB5C0B"/>
    <w:rsid w:val="00BC200B"/>
    <w:rsid w:val="00BC4756"/>
    <w:rsid w:val="00BC4924"/>
    <w:rsid w:val="00BC69A4"/>
    <w:rsid w:val="00BD1F7A"/>
    <w:rsid w:val="00BE0680"/>
    <w:rsid w:val="00BE305F"/>
    <w:rsid w:val="00BE7BA3"/>
    <w:rsid w:val="00BF141A"/>
    <w:rsid w:val="00BF2B37"/>
    <w:rsid w:val="00BF5682"/>
    <w:rsid w:val="00BF7B09"/>
    <w:rsid w:val="00C05260"/>
    <w:rsid w:val="00C059B9"/>
    <w:rsid w:val="00C076B9"/>
    <w:rsid w:val="00C13356"/>
    <w:rsid w:val="00C20A95"/>
    <w:rsid w:val="00C2692F"/>
    <w:rsid w:val="00C3207C"/>
    <w:rsid w:val="00C36619"/>
    <w:rsid w:val="00C400E1"/>
    <w:rsid w:val="00C41187"/>
    <w:rsid w:val="00C54A7D"/>
    <w:rsid w:val="00C55247"/>
    <w:rsid w:val="00C56120"/>
    <w:rsid w:val="00C63C31"/>
    <w:rsid w:val="00C64333"/>
    <w:rsid w:val="00C65CF4"/>
    <w:rsid w:val="00C757A0"/>
    <w:rsid w:val="00C760DE"/>
    <w:rsid w:val="00C82630"/>
    <w:rsid w:val="00C848A2"/>
    <w:rsid w:val="00C85B4E"/>
    <w:rsid w:val="00C87578"/>
    <w:rsid w:val="00C907F7"/>
    <w:rsid w:val="00CA2103"/>
    <w:rsid w:val="00CB21E8"/>
    <w:rsid w:val="00CB6B99"/>
    <w:rsid w:val="00CB7A4F"/>
    <w:rsid w:val="00CE1E72"/>
    <w:rsid w:val="00CE3371"/>
    <w:rsid w:val="00CE4C87"/>
    <w:rsid w:val="00CE544A"/>
    <w:rsid w:val="00D01361"/>
    <w:rsid w:val="00D11E1C"/>
    <w:rsid w:val="00D1328A"/>
    <w:rsid w:val="00D160B0"/>
    <w:rsid w:val="00D17F94"/>
    <w:rsid w:val="00D223FC"/>
    <w:rsid w:val="00D26D1E"/>
    <w:rsid w:val="00D33FBF"/>
    <w:rsid w:val="00D438B8"/>
    <w:rsid w:val="00D474CF"/>
    <w:rsid w:val="00D5547E"/>
    <w:rsid w:val="00D566E2"/>
    <w:rsid w:val="00D8270A"/>
    <w:rsid w:val="00D860E2"/>
    <w:rsid w:val="00D869A1"/>
    <w:rsid w:val="00DA413F"/>
    <w:rsid w:val="00DA4584"/>
    <w:rsid w:val="00DA47BC"/>
    <w:rsid w:val="00DA614B"/>
    <w:rsid w:val="00DB27FA"/>
    <w:rsid w:val="00DB7AD7"/>
    <w:rsid w:val="00DC3060"/>
    <w:rsid w:val="00DE0FB2"/>
    <w:rsid w:val="00DE3615"/>
    <w:rsid w:val="00DE5C1F"/>
    <w:rsid w:val="00DF093E"/>
    <w:rsid w:val="00DF5D4E"/>
    <w:rsid w:val="00E01F42"/>
    <w:rsid w:val="00E05CAA"/>
    <w:rsid w:val="00E206D6"/>
    <w:rsid w:val="00E3366E"/>
    <w:rsid w:val="00E34905"/>
    <w:rsid w:val="00E40E4D"/>
    <w:rsid w:val="00E508A1"/>
    <w:rsid w:val="00E52086"/>
    <w:rsid w:val="00E543A6"/>
    <w:rsid w:val="00E551C4"/>
    <w:rsid w:val="00E60479"/>
    <w:rsid w:val="00E61D73"/>
    <w:rsid w:val="00E73684"/>
    <w:rsid w:val="00E818D6"/>
    <w:rsid w:val="00E87F7A"/>
    <w:rsid w:val="00E94B3E"/>
    <w:rsid w:val="00E96BD7"/>
    <w:rsid w:val="00EA0DB1"/>
    <w:rsid w:val="00EA0EE9"/>
    <w:rsid w:val="00EB3E54"/>
    <w:rsid w:val="00ED52CA"/>
    <w:rsid w:val="00ED5860"/>
    <w:rsid w:val="00EE149B"/>
    <w:rsid w:val="00EE35C9"/>
    <w:rsid w:val="00EF6439"/>
    <w:rsid w:val="00F03F3C"/>
    <w:rsid w:val="00F05ECA"/>
    <w:rsid w:val="00F122B1"/>
    <w:rsid w:val="00F26E21"/>
    <w:rsid w:val="00F3566E"/>
    <w:rsid w:val="00F375FB"/>
    <w:rsid w:val="00F41AC1"/>
    <w:rsid w:val="00F4367A"/>
    <w:rsid w:val="00F445B1"/>
    <w:rsid w:val="00F45CD4"/>
    <w:rsid w:val="00F66DCA"/>
    <w:rsid w:val="00F74F53"/>
    <w:rsid w:val="00F7606D"/>
    <w:rsid w:val="00F8053E"/>
    <w:rsid w:val="00F81670"/>
    <w:rsid w:val="00F82024"/>
    <w:rsid w:val="00F865A3"/>
    <w:rsid w:val="00F95BC9"/>
    <w:rsid w:val="00F96B7E"/>
    <w:rsid w:val="00FA17FF"/>
    <w:rsid w:val="00FA624C"/>
    <w:rsid w:val="00FB3B71"/>
    <w:rsid w:val="00FD0FAC"/>
    <w:rsid w:val="00FD1DFA"/>
    <w:rsid w:val="00FD4966"/>
    <w:rsid w:val="00FE0A51"/>
    <w:rsid w:val="00FE57DC"/>
    <w:rsid w:val="00FF095A"/>
    <w:rsid w:val="00FF6422"/>
    <w:rsid w:val="012460D6"/>
    <w:rsid w:val="0287E82A"/>
    <w:rsid w:val="02AB56F3"/>
    <w:rsid w:val="0346D8EA"/>
    <w:rsid w:val="0710BB9B"/>
    <w:rsid w:val="08612AF7"/>
    <w:rsid w:val="086B0F04"/>
    <w:rsid w:val="08A8E222"/>
    <w:rsid w:val="0939A38A"/>
    <w:rsid w:val="09EA6934"/>
    <w:rsid w:val="0A996ACD"/>
    <w:rsid w:val="0AFF6EB2"/>
    <w:rsid w:val="0BC4DFF5"/>
    <w:rsid w:val="0C9B31B2"/>
    <w:rsid w:val="10D6FE06"/>
    <w:rsid w:val="114C5F09"/>
    <w:rsid w:val="1200FACE"/>
    <w:rsid w:val="12E744BB"/>
    <w:rsid w:val="13D64D59"/>
    <w:rsid w:val="17513DD5"/>
    <w:rsid w:val="18A47893"/>
    <w:rsid w:val="1D080B8E"/>
    <w:rsid w:val="1D2FA919"/>
    <w:rsid w:val="1D79CE75"/>
    <w:rsid w:val="2187760D"/>
    <w:rsid w:val="229BB4EA"/>
    <w:rsid w:val="29C91C3A"/>
    <w:rsid w:val="2B7BAFE9"/>
    <w:rsid w:val="2BB29E7E"/>
    <w:rsid w:val="2C0F9C71"/>
    <w:rsid w:val="2E6D5454"/>
    <w:rsid w:val="2F2A85A0"/>
    <w:rsid w:val="33B7281E"/>
    <w:rsid w:val="33FF7DAA"/>
    <w:rsid w:val="361E7983"/>
    <w:rsid w:val="37FFB4D7"/>
    <w:rsid w:val="395C47E3"/>
    <w:rsid w:val="397B3F40"/>
    <w:rsid w:val="39A05735"/>
    <w:rsid w:val="3AFA1B33"/>
    <w:rsid w:val="3CC14F5D"/>
    <w:rsid w:val="3D3B0069"/>
    <w:rsid w:val="3D9882EA"/>
    <w:rsid w:val="3DF14DDC"/>
    <w:rsid w:val="3EBA0DA8"/>
    <w:rsid w:val="3EF71E4E"/>
    <w:rsid w:val="3F74E53E"/>
    <w:rsid w:val="40063A47"/>
    <w:rsid w:val="40774643"/>
    <w:rsid w:val="41571A7F"/>
    <w:rsid w:val="42DDDBA8"/>
    <w:rsid w:val="45BBD153"/>
    <w:rsid w:val="47F273E0"/>
    <w:rsid w:val="4B84F9CA"/>
    <w:rsid w:val="4C2D167E"/>
    <w:rsid w:val="4C36344A"/>
    <w:rsid w:val="4E780D21"/>
    <w:rsid w:val="4E7B558F"/>
    <w:rsid w:val="4F43C41E"/>
    <w:rsid w:val="4F966FB6"/>
    <w:rsid w:val="53463B51"/>
    <w:rsid w:val="5353493B"/>
    <w:rsid w:val="5602BFF8"/>
    <w:rsid w:val="561E3DD4"/>
    <w:rsid w:val="5808269C"/>
    <w:rsid w:val="5832B0E0"/>
    <w:rsid w:val="5B818A7E"/>
    <w:rsid w:val="5C2B989B"/>
    <w:rsid w:val="5CBE517D"/>
    <w:rsid w:val="5D71F95F"/>
    <w:rsid w:val="5D81E474"/>
    <w:rsid w:val="5E6B8486"/>
    <w:rsid w:val="5F13CB23"/>
    <w:rsid w:val="657286C4"/>
    <w:rsid w:val="65912E93"/>
    <w:rsid w:val="6705CB2F"/>
    <w:rsid w:val="67763C94"/>
    <w:rsid w:val="68A4BF98"/>
    <w:rsid w:val="69410224"/>
    <w:rsid w:val="69C0F1C8"/>
    <w:rsid w:val="6A38635F"/>
    <w:rsid w:val="6AB83EFA"/>
    <w:rsid w:val="6C68FDE1"/>
    <w:rsid w:val="6D15E740"/>
    <w:rsid w:val="6D8A7C5A"/>
    <w:rsid w:val="6EF1E5C9"/>
    <w:rsid w:val="709410E8"/>
    <w:rsid w:val="70BB03AA"/>
    <w:rsid w:val="70CE5F5A"/>
    <w:rsid w:val="7126238E"/>
    <w:rsid w:val="719C242E"/>
    <w:rsid w:val="7337D733"/>
    <w:rsid w:val="7437B097"/>
    <w:rsid w:val="74DD5E36"/>
    <w:rsid w:val="76DC391E"/>
    <w:rsid w:val="7A731415"/>
    <w:rsid w:val="7ACC6696"/>
    <w:rsid w:val="7BF71614"/>
    <w:rsid w:val="7E2CE386"/>
    <w:rsid w:val="7ECA0CCF"/>
    <w:rsid w:val="7FE1DDD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CE6479"/>
  <w15:docId w15:val="{B408F79B-8E03-49FC-A7EC-17FD6DFB2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5F76"/>
    <w:pPr>
      <w:spacing w:after="120"/>
    </w:pPr>
    <w:rPr>
      <w:color w:val="000000"/>
      <w:sz w:val="24"/>
      <w:szCs w:val="24"/>
    </w:rPr>
  </w:style>
  <w:style w:type="paragraph" w:styleId="Heading1">
    <w:name w:val="heading 1"/>
    <w:aliases w:val="aHeading"/>
    <w:basedOn w:val="Normal"/>
    <w:next w:val="Normal"/>
    <w:link w:val="Heading1Char"/>
    <w:qFormat/>
    <w:rsid w:val="002B6836"/>
    <w:pPr>
      <w:spacing w:before="240"/>
      <w:outlineLvl w:val="0"/>
    </w:pPr>
    <w:rPr>
      <w:b/>
    </w:rPr>
  </w:style>
  <w:style w:type="paragraph" w:styleId="Heading2">
    <w:name w:val="heading 2"/>
    <w:aliases w:val="Sub-heading"/>
    <w:basedOn w:val="Normal"/>
    <w:next w:val="Normal"/>
    <w:qFormat/>
    <w:rsid w:val="00F26E21"/>
    <w:pPr>
      <w:spacing w:before="120"/>
      <w:outlineLvl w:val="1"/>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A6D2F"/>
    <w:pPr>
      <w:tabs>
        <w:tab w:val="center" w:pos="4153"/>
        <w:tab w:val="right" w:pos="8306"/>
      </w:tabs>
    </w:pPr>
    <w:rPr>
      <w:sz w:val="18"/>
    </w:rPr>
  </w:style>
  <w:style w:type="paragraph" w:styleId="Footer">
    <w:name w:val="footer"/>
    <w:aliases w:val="zzFooter"/>
    <w:basedOn w:val="Normal"/>
    <w:link w:val="FooterChar"/>
    <w:uiPriority w:val="99"/>
    <w:rsid w:val="004A6D2F"/>
    <w:pPr>
      <w:tabs>
        <w:tab w:val="center" w:pos="4153"/>
        <w:tab w:val="right" w:pos="8306"/>
      </w:tabs>
    </w:pPr>
    <w:rPr>
      <w:sz w:val="18"/>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character" w:styleId="CommentReference">
    <w:name w:val="annotation reference"/>
    <w:rPr>
      <w:sz w:val="16"/>
      <w:szCs w:val="16"/>
    </w:rPr>
  </w:style>
  <w:style w:type="paragraph" w:styleId="CommentText">
    <w:name w:val="annotation text"/>
    <w:basedOn w:val="Normal"/>
    <w:link w:val="CommentTextChar"/>
    <w:rPr>
      <w:sz w:val="20"/>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numbering" w:customStyle="1" w:styleId="StyleBulletedSymbolsymbolLeft063cmHanging063cm">
    <w:name w:val="Style Bulleted Symbol (symbol) Left:  0.63 cm Hanging:  0.63 cm"/>
    <w:basedOn w:val="NoList"/>
    <w:rsid w:val="00E818D6"/>
    <w:pPr>
      <w:numPr>
        <w:numId w:val="18"/>
      </w:numPr>
    </w:pPr>
  </w:style>
  <w:style w:type="character" w:styleId="PageNumber">
    <w:name w:val="page number"/>
    <w:rsid w:val="004A6D2F"/>
    <w:rPr>
      <w:rFonts w:ascii="Arial" w:hAnsi="Arial"/>
      <w:sz w:val="18"/>
    </w:rPr>
  </w:style>
  <w:style w:type="character" w:styleId="Hyperlink">
    <w:name w:val="Hyperlink"/>
    <w:aliases w:val="set Hyperlink"/>
    <w:qFormat/>
    <w:rsid w:val="003D2574"/>
    <w:rPr>
      <w:rFonts w:ascii="Arial" w:hAnsi="Arial"/>
      <w:color w:val="0000FF"/>
      <w:sz w:val="24"/>
      <w:u w:val="single"/>
    </w:rPr>
  </w:style>
  <w:style w:type="table" w:styleId="TableGrid">
    <w:name w:val="Table Grid"/>
    <w:basedOn w:val="TableNormal"/>
    <w:rsid w:val="001A06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rsid w:val="00E96BD7"/>
    <w:pPr>
      <w:spacing w:after="120"/>
    </w:pPr>
    <w:rPr>
      <w:color w:val="000000"/>
      <w:sz w:val="24"/>
      <w:szCs w:val="24"/>
      <w:lang w:eastAsia="en-US"/>
    </w:rPr>
  </w:style>
  <w:style w:type="paragraph" w:styleId="ListParagraph">
    <w:name w:val="List Paragraph"/>
    <w:basedOn w:val="Normal"/>
    <w:link w:val="ListParagraphChar"/>
    <w:uiPriority w:val="34"/>
    <w:qFormat/>
    <w:rsid w:val="005570B5"/>
    <w:pPr>
      <w:numPr>
        <w:numId w:val="16"/>
      </w:numPr>
      <w:tabs>
        <w:tab w:val="left" w:pos="426"/>
      </w:tabs>
      <w:ind w:left="426" w:hanging="426"/>
    </w:pPr>
  </w:style>
  <w:style w:type="character" w:customStyle="1" w:styleId="HeaderChar">
    <w:name w:val="Header Char"/>
    <w:link w:val="Header"/>
    <w:uiPriority w:val="99"/>
    <w:rsid w:val="004A6D2F"/>
    <w:rPr>
      <w:rFonts w:ascii="Arial" w:hAnsi="Arial"/>
      <w:bCs/>
      <w:color w:val="000000"/>
      <w:sz w:val="18"/>
      <w:szCs w:val="24"/>
      <w:lang w:eastAsia="en-US"/>
    </w:rPr>
  </w:style>
  <w:style w:type="table" w:styleId="LightList-Accent2">
    <w:name w:val="Light List Accent 2"/>
    <w:basedOn w:val="TableNormal"/>
    <w:uiPriority w:val="61"/>
    <w:rsid w:val="00421CB2"/>
    <w:rPr>
      <w:rFonts w:eastAsia="Calibri" w:cs="Arial"/>
      <w:sz w:val="24"/>
      <w:szCs w:val="24"/>
      <w:lang w:eastAsia="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Shading-Accent2">
    <w:name w:val="Light Shading Accent 2"/>
    <w:basedOn w:val="TableNormal"/>
    <w:uiPriority w:val="60"/>
    <w:rsid w:val="00CB6B99"/>
    <w:rPr>
      <w:rFonts w:eastAsia="Calibri" w:cs="Arial"/>
      <w:color w:val="943634"/>
      <w:sz w:val="24"/>
      <w:szCs w:val="24"/>
      <w:lang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Revision">
    <w:name w:val="Revision"/>
    <w:hidden/>
    <w:uiPriority w:val="99"/>
    <w:semiHidden/>
    <w:rsid w:val="009034EC"/>
    <w:pPr>
      <w:spacing w:after="120"/>
    </w:pPr>
    <w:rPr>
      <w:color w:val="000000"/>
      <w:sz w:val="24"/>
      <w:szCs w:val="24"/>
      <w:lang w:eastAsia="en-US"/>
    </w:rPr>
  </w:style>
  <w:style w:type="paragraph" w:customStyle="1" w:styleId="Tableandfigurecaption">
    <w:name w:val="Table and figure caption"/>
    <w:basedOn w:val="Heading2"/>
    <w:rsid w:val="00692627"/>
    <w:pPr>
      <w:ind w:left="360"/>
    </w:pPr>
    <w:rPr>
      <w:bCs/>
      <w:szCs w:val="20"/>
    </w:rPr>
  </w:style>
  <w:style w:type="numbering" w:customStyle="1" w:styleId="StyleNumberedLeft0cmHanging075cm">
    <w:name w:val="Style Numbered Left:  0 cm Hanging:  0.75 cm"/>
    <w:basedOn w:val="NoList"/>
    <w:rsid w:val="00E818D6"/>
    <w:pPr>
      <w:numPr>
        <w:numId w:val="15"/>
      </w:numPr>
    </w:pPr>
  </w:style>
  <w:style w:type="paragraph" w:customStyle="1" w:styleId="Bulletpoints">
    <w:name w:val="Bullet points"/>
    <w:basedOn w:val="Normal"/>
    <w:link w:val="BulletpointsChar"/>
    <w:qFormat/>
    <w:rsid w:val="005570B5"/>
    <w:pPr>
      <w:numPr>
        <w:numId w:val="17"/>
      </w:numPr>
      <w:tabs>
        <w:tab w:val="left" w:pos="993"/>
      </w:tabs>
      <w:ind w:left="993" w:hanging="425"/>
    </w:pPr>
  </w:style>
  <w:style w:type="paragraph" w:styleId="Quote">
    <w:name w:val="Quote"/>
    <w:basedOn w:val="Normal"/>
    <w:next w:val="Normal"/>
    <w:link w:val="QuoteChar"/>
    <w:uiPriority w:val="29"/>
    <w:qFormat/>
    <w:rsid w:val="004A6D2F"/>
    <w:rPr>
      <w:i/>
      <w:iCs/>
    </w:rPr>
  </w:style>
  <w:style w:type="character" w:customStyle="1" w:styleId="BulletpointsChar">
    <w:name w:val="Bullet points Char"/>
    <w:link w:val="Bulletpoints"/>
    <w:rsid w:val="005570B5"/>
    <w:rPr>
      <w:color w:val="000000"/>
      <w:sz w:val="24"/>
      <w:szCs w:val="24"/>
    </w:rPr>
  </w:style>
  <w:style w:type="character" w:customStyle="1" w:styleId="QuoteChar">
    <w:name w:val="Quote Char"/>
    <w:link w:val="Quote"/>
    <w:uiPriority w:val="29"/>
    <w:rsid w:val="004A6D2F"/>
    <w:rPr>
      <w:rFonts w:ascii="Arial" w:hAnsi="Arial"/>
      <w:i/>
      <w:iCs/>
      <w:color w:val="000000"/>
      <w:sz w:val="24"/>
      <w:szCs w:val="24"/>
      <w:lang w:eastAsia="en-US"/>
    </w:rPr>
  </w:style>
  <w:style w:type="character" w:customStyle="1" w:styleId="FooterChar">
    <w:name w:val="Footer Char"/>
    <w:aliases w:val="zzFooter Char"/>
    <w:link w:val="Footer"/>
    <w:uiPriority w:val="99"/>
    <w:rsid w:val="004B11AE"/>
    <w:rPr>
      <w:color w:val="000000"/>
      <w:sz w:val="18"/>
      <w:szCs w:val="24"/>
    </w:rPr>
  </w:style>
  <w:style w:type="character" w:customStyle="1" w:styleId="Firstpagetablebold">
    <w:name w:val="First page table: bold"/>
    <w:qFormat/>
    <w:rsid w:val="005D1E27"/>
    <w:rPr>
      <w:rFonts w:ascii="Arial" w:hAnsi="Arial"/>
      <w:b/>
      <w:sz w:val="24"/>
    </w:rPr>
  </w:style>
  <w:style w:type="paragraph" w:customStyle="1" w:styleId="bParagraphtext">
    <w:name w:val="bParagraph text"/>
    <w:basedOn w:val="ListParagraph"/>
    <w:link w:val="bParagraphtextChar"/>
    <w:qFormat/>
    <w:rsid w:val="004268B9"/>
  </w:style>
  <w:style w:type="paragraph" w:styleId="Caption">
    <w:name w:val="caption"/>
    <w:basedOn w:val="Normal"/>
    <w:next w:val="Normal"/>
    <w:unhideWhenUsed/>
    <w:qFormat/>
    <w:rsid w:val="0093067A"/>
    <w:pPr>
      <w:spacing w:before="120"/>
      <w:jc w:val="center"/>
    </w:pPr>
    <w:rPr>
      <w:b/>
      <w:bCs/>
      <w:sz w:val="20"/>
      <w:szCs w:val="20"/>
    </w:rPr>
  </w:style>
  <w:style w:type="character" w:customStyle="1" w:styleId="ListParagraphChar">
    <w:name w:val="List Paragraph Char"/>
    <w:link w:val="ListParagraph"/>
    <w:uiPriority w:val="34"/>
    <w:rsid w:val="005570B5"/>
    <w:rPr>
      <w:color w:val="000000"/>
      <w:sz w:val="24"/>
      <w:szCs w:val="24"/>
    </w:rPr>
  </w:style>
  <w:style w:type="character" w:customStyle="1" w:styleId="bParagraphtextChar">
    <w:name w:val="bParagraph text Char"/>
    <w:link w:val="bParagraphtext"/>
    <w:rsid w:val="005570B5"/>
    <w:rPr>
      <w:color w:val="000000"/>
      <w:sz w:val="24"/>
      <w:szCs w:val="24"/>
    </w:rPr>
  </w:style>
  <w:style w:type="paragraph" w:customStyle="1" w:styleId="Numberedlist">
    <w:name w:val="Numbered list"/>
    <w:basedOn w:val="Bulletpoints"/>
    <w:link w:val="NumberedlistChar"/>
    <w:qFormat/>
    <w:rsid w:val="004738C5"/>
    <w:pPr>
      <w:numPr>
        <w:numId w:val="25"/>
      </w:numPr>
      <w:ind w:left="993" w:hanging="426"/>
    </w:pPr>
  </w:style>
  <w:style w:type="character" w:customStyle="1" w:styleId="Heading1Char">
    <w:name w:val="Heading 1 Char"/>
    <w:aliases w:val="aHeading Char"/>
    <w:link w:val="Heading1"/>
    <w:rsid w:val="002B6836"/>
    <w:rPr>
      <w:b/>
      <w:color w:val="000000"/>
      <w:sz w:val="24"/>
      <w:szCs w:val="24"/>
    </w:rPr>
  </w:style>
  <w:style w:type="paragraph" w:styleId="TOAHeading">
    <w:name w:val="toa heading"/>
    <w:basedOn w:val="Normal"/>
    <w:next w:val="Normal"/>
    <w:rsid w:val="005570B5"/>
    <w:pPr>
      <w:spacing w:before="120"/>
    </w:pPr>
    <w:rPr>
      <w:rFonts w:ascii="Cambria" w:hAnsi="Cambria"/>
      <w:b/>
      <w:bCs/>
    </w:rPr>
  </w:style>
  <w:style w:type="character" w:customStyle="1" w:styleId="NumberedlistChar">
    <w:name w:val="Numbered list Char"/>
    <w:link w:val="Numberedlist"/>
    <w:rsid w:val="004738C5"/>
    <w:rPr>
      <w:color w:val="000000"/>
      <w:sz w:val="24"/>
      <w:szCs w:val="24"/>
    </w:rPr>
  </w:style>
  <w:style w:type="table" w:styleId="TableColumns1">
    <w:name w:val="Table Columns 1"/>
    <w:basedOn w:val="TableNormal"/>
    <w:rsid w:val="00507ECC"/>
    <w:pPr>
      <w:spacing w:after="12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4">
    <w:name w:val="Table Classic 4"/>
    <w:basedOn w:val="TableNormal"/>
    <w:rsid w:val="00507ECC"/>
    <w:pPr>
      <w:spacing w:after="12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3">
    <w:name w:val="Table Grid 3"/>
    <w:basedOn w:val="TableNormal"/>
    <w:rsid w:val="00507ECC"/>
    <w:pPr>
      <w:spacing w:after="12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ightList-Accent1">
    <w:name w:val="Light List Accent 1"/>
    <w:basedOn w:val="TableNormal"/>
    <w:uiPriority w:val="61"/>
    <w:rsid w:val="00507EC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TableGrid1">
    <w:name w:val="Table Grid1"/>
    <w:basedOn w:val="TableNormal"/>
    <w:next w:val="TableGrid"/>
    <w:uiPriority w:val="59"/>
    <w:rsid w:val="001A1BA1"/>
    <w:rPr>
      <w:rFonts w:eastAsiaTheme="minorHAnsi" w:cs="Arial"/>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1A1BA1"/>
    <w:pPr>
      <w:spacing w:after="0"/>
    </w:pPr>
    <w:rPr>
      <w:rFonts w:ascii="Times New Roman" w:hAnsi="Times New Roman"/>
      <w:color w:val="auto"/>
      <w:sz w:val="20"/>
      <w:szCs w:val="20"/>
    </w:rPr>
  </w:style>
  <w:style w:type="character" w:customStyle="1" w:styleId="FootnoteTextChar">
    <w:name w:val="Footnote Text Char"/>
    <w:basedOn w:val="DefaultParagraphFont"/>
    <w:link w:val="FootnoteText"/>
    <w:uiPriority w:val="99"/>
    <w:semiHidden/>
    <w:rsid w:val="001A1BA1"/>
    <w:rPr>
      <w:rFonts w:ascii="Times New Roman" w:hAnsi="Times New Roman"/>
    </w:rPr>
  </w:style>
  <w:style w:type="character" w:styleId="FootnoteReference">
    <w:name w:val="footnote reference"/>
    <w:basedOn w:val="DefaultParagraphFont"/>
    <w:uiPriority w:val="99"/>
    <w:semiHidden/>
    <w:unhideWhenUsed/>
    <w:rsid w:val="001A1BA1"/>
    <w:rPr>
      <w:vertAlign w:val="superscript"/>
    </w:rPr>
  </w:style>
  <w:style w:type="character" w:styleId="PlaceholderText">
    <w:name w:val="Placeholder Text"/>
    <w:basedOn w:val="DefaultParagraphFont"/>
    <w:uiPriority w:val="99"/>
    <w:semiHidden/>
    <w:rsid w:val="006C767F"/>
    <w:rPr>
      <w:color w:val="808080"/>
    </w:rPr>
  </w:style>
  <w:style w:type="paragraph" w:customStyle="1" w:styleId="dBulletpoints">
    <w:name w:val="dBullet points"/>
    <w:basedOn w:val="Normal"/>
    <w:link w:val="dBulletpointsChar"/>
    <w:qFormat/>
    <w:rsid w:val="009D7080"/>
    <w:pPr>
      <w:numPr>
        <w:numId w:val="40"/>
      </w:numPr>
      <w:tabs>
        <w:tab w:val="left" w:pos="1418"/>
      </w:tabs>
      <w:spacing w:before="120" w:after="0"/>
      <w:ind w:left="1418" w:hanging="425"/>
    </w:pPr>
    <w:rPr>
      <w:color w:val="auto"/>
      <w:lang w:eastAsia="en-US"/>
    </w:rPr>
  </w:style>
  <w:style w:type="character" w:customStyle="1" w:styleId="dBulletpointsChar">
    <w:name w:val="dBullet points Char"/>
    <w:link w:val="dBulletpoints"/>
    <w:rsid w:val="009D7080"/>
    <w:rPr>
      <w:sz w:val="24"/>
      <w:szCs w:val="24"/>
      <w:lang w:eastAsia="en-US"/>
    </w:rPr>
  </w:style>
  <w:style w:type="character" w:customStyle="1" w:styleId="CommentTextChar">
    <w:name w:val="Comment Text Char"/>
    <w:basedOn w:val="DefaultParagraphFont"/>
    <w:link w:val="CommentText"/>
    <w:rsid w:val="00226F8A"/>
    <w:rPr>
      <w:color w:val="000000"/>
    </w:rPr>
  </w:style>
  <w:style w:type="paragraph" w:customStyle="1" w:styleId="dNormParatext">
    <w:name w:val="dNormPara text"/>
    <w:basedOn w:val="Normal"/>
    <w:link w:val="dNormParatextChar"/>
    <w:qFormat/>
    <w:rsid w:val="00226F8A"/>
    <w:pPr>
      <w:ind w:left="567"/>
    </w:pPr>
    <w:rPr>
      <w:color w:val="auto"/>
      <w:lang w:eastAsia="en-US"/>
    </w:rPr>
  </w:style>
  <w:style w:type="character" w:customStyle="1" w:styleId="dNormParatextChar">
    <w:name w:val="dNormPara text Char"/>
    <w:link w:val="dNormParatext"/>
    <w:rsid w:val="00226F8A"/>
    <w:rPr>
      <w:sz w:val="24"/>
      <w:szCs w:val="24"/>
      <w:lang w:eastAsia="en-US"/>
    </w:rPr>
  </w:style>
  <w:style w:type="character" w:styleId="UnresolvedMention">
    <w:name w:val="Unresolved Mention"/>
    <w:basedOn w:val="DefaultParagraphFont"/>
    <w:uiPriority w:val="99"/>
    <w:semiHidden/>
    <w:unhideWhenUsed/>
    <w:rsid w:val="005B06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970471">
      <w:bodyDiv w:val="1"/>
      <w:marLeft w:val="0"/>
      <w:marRight w:val="0"/>
      <w:marTop w:val="0"/>
      <w:marBottom w:val="0"/>
      <w:divBdr>
        <w:top w:val="none" w:sz="0" w:space="0" w:color="auto"/>
        <w:left w:val="none" w:sz="0" w:space="0" w:color="auto"/>
        <w:bottom w:val="none" w:sz="0" w:space="0" w:color="auto"/>
        <w:right w:val="none" w:sz="0" w:space="0" w:color="auto"/>
      </w:divBdr>
    </w:div>
    <w:div w:id="255987371">
      <w:bodyDiv w:val="1"/>
      <w:marLeft w:val="0"/>
      <w:marRight w:val="0"/>
      <w:marTop w:val="0"/>
      <w:marBottom w:val="0"/>
      <w:divBdr>
        <w:top w:val="none" w:sz="0" w:space="0" w:color="auto"/>
        <w:left w:val="none" w:sz="0" w:space="0" w:color="auto"/>
        <w:bottom w:val="none" w:sz="0" w:space="0" w:color="auto"/>
        <w:right w:val="none" w:sz="0" w:space="0" w:color="auto"/>
      </w:divBdr>
    </w:div>
    <w:div w:id="261574074">
      <w:bodyDiv w:val="1"/>
      <w:marLeft w:val="0"/>
      <w:marRight w:val="0"/>
      <w:marTop w:val="0"/>
      <w:marBottom w:val="0"/>
      <w:divBdr>
        <w:top w:val="none" w:sz="0" w:space="0" w:color="auto"/>
        <w:left w:val="none" w:sz="0" w:space="0" w:color="auto"/>
        <w:bottom w:val="none" w:sz="0" w:space="0" w:color="auto"/>
        <w:right w:val="none" w:sz="0" w:space="0" w:color="auto"/>
      </w:divBdr>
    </w:div>
    <w:div w:id="373189891">
      <w:bodyDiv w:val="1"/>
      <w:marLeft w:val="0"/>
      <w:marRight w:val="0"/>
      <w:marTop w:val="0"/>
      <w:marBottom w:val="0"/>
      <w:divBdr>
        <w:top w:val="none" w:sz="0" w:space="0" w:color="auto"/>
        <w:left w:val="none" w:sz="0" w:space="0" w:color="auto"/>
        <w:bottom w:val="none" w:sz="0" w:space="0" w:color="auto"/>
        <w:right w:val="none" w:sz="0" w:space="0" w:color="auto"/>
      </w:divBdr>
    </w:div>
    <w:div w:id="565995746">
      <w:bodyDiv w:val="1"/>
      <w:marLeft w:val="0"/>
      <w:marRight w:val="0"/>
      <w:marTop w:val="0"/>
      <w:marBottom w:val="0"/>
      <w:divBdr>
        <w:top w:val="none" w:sz="0" w:space="0" w:color="auto"/>
        <w:left w:val="none" w:sz="0" w:space="0" w:color="auto"/>
        <w:bottom w:val="none" w:sz="0" w:space="0" w:color="auto"/>
        <w:right w:val="none" w:sz="0" w:space="0" w:color="auto"/>
      </w:divBdr>
    </w:div>
    <w:div w:id="674767497">
      <w:bodyDiv w:val="1"/>
      <w:marLeft w:val="0"/>
      <w:marRight w:val="0"/>
      <w:marTop w:val="0"/>
      <w:marBottom w:val="0"/>
      <w:divBdr>
        <w:top w:val="none" w:sz="0" w:space="0" w:color="auto"/>
        <w:left w:val="none" w:sz="0" w:space="0" w:color="auto"/>
        <w:bottom w:val="none" w:sz="0" w:space="0" w:color="auto"/>
        <w:right w:val="none" w:sz="0" w:space="0" w:color="auto"/>
      </w:divBdr>
    </w:div>
    <w:div w:id="715664606">
      <w:bodyDiv w:val="1"/>
      <w:marLeft w:val="0"/>
      <w:marRight w:val="0"/>
      <w:marTop w:val="0"/>
      <w:marBottom w:val="0"/>
      <w:divBdr>
        <w:top w:val="none" w:sz="0" w:space="0" w:color="auto"/>
        <w:left w:val="none" w:sz="0" w:space="0" w:color="auto"/>
        <w:bottom w:val="none" w:sz="0" w:space="0" w:color="auto"/>
        <w:right w:val="none" w:sz="0" w:space="0" w:color="auto"/>
      </w:divBdr>
    </w:div>
    <w:div w:id="896626785">
      <w:bodyDiv w:val="1"/>
      <w:marLeft w:val="0"/>
      <w:marRight w:val="0"/>
      <w:marTop w:val="0"/>
      <w:marBottom w:val="0"/>
      <w:divBdr>
        <w:top w:val="none" w:sz="0" w:space="0" w:color="auto"/>
        <w:left w:val="none" w:sz="0" w:space="0" w:color="auto"/>
        <w:bottom w:val="none" w:sz="0" w:space="0" w:color="auto"/>
        <w:right w:val="none" w:sz="0" w:space="0" w:color="auto"/>
      </w:divBdr>
    </w:div>
    <w:div w:id="940918380">
      <w:bodyDiv w:val="1"/>
      <w:marLeft w:val="0"/>
      <w:marRight w:val="0"/>
      <w:marTop w:val="0"/>
      <w:marBottom w:val="0"/>
      <w:divBdr>
        <w:top w:val="none" w:sz="0" w:space="0" w:color="auto"/>
        <w:left w:val="none" w:sz="0" w:space="0" w:color="auto"/>
        <w:bottom w:val="none" w:sz="0" w:space="0" w:color="auto"/>
        <w:right w:val="none" w:sz="0" w:space="0" w:color="auto"/>
      </w:divBdr>
    </w:div>
    <w:div w:id="1234318887">
      <w:bodyDiv w:val="1"/>
      <w:marLeft w:val="0"/>
      <w:marRight w:val="0"/>
      <w:marTop w:val="0"/>
      <w:marBottom w:val="0"/>
      <w:divBdr>
        <w:top w:val="none" w:sz="0" w:space="0" w:color="auto"/>
        <w:left w:val="none" w:sz="0" w:space="0" w:color="auto"/>
        <w:bottom w:val="none" w:sz="0" w:space="0" w:color="auto"/>
        <w:right w:val="none" w:sz="0" w:space="0" w:color="auto"/>
      </w:divBdr>
    </w:div>
    <w:div w:id="1343970612">
      <w:bodyDiv w:val="1"/>
      <w:marLeft w:val="0"/>
      <w:marRight w:val="0"/>
      <w:marTop w:val="0"/>
      <w:marBottom w:val="0"/>
      <w:divBdr>
        <w:top w:val="none" w:sz="0" w:space="0" w:color="auto"/>
        <w:left w:val="none" w:sz="0" w:space="0" w:color="auto"/>
        <w:bottom w:val="none" w:sz="0" w:space="0" w:color="auto"/>
        <w:right w:val="none" w:sz="0" w:space="0" w:color="auto"/>
      </w:divBdr>
    </w:div>
    <w:div w:id="1454129367">
      <w:bodyDiv w:val="1"/>
      <w:marLeft w:val="0"/>
      <w:marRight w:val="0"/>
      <w:marTop w:val="0"/>
      <w:marBottom w:val="0"/>
      <w:divBdr>
        <w:top w:val="none" w:sz="0" w:space="0" w:color="auto"/>
        <w:left w:val="none" w:sz="0" w:space="0" w:color="auto"/>
        <w:bottom w:val="none" w:sz="0" w:space="0" w:color="auto"/>
        <w:right w:val="none" w:sz="0" w:space="0" w:color="auto"/>
      </w:divBdr>
    </w:div>
    <w:div w:id="1464349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protheroe@oxford.gov.uk"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mailto:acforwardplan@oxford.gov.uk"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470084659A8C14A869EF91DDC71B369" ma:contentTypeVersion="4" ma:contentTypeDescription="Create a new document." ma:contentTypeScope="" ma:versionID="1bef9870b4cf41f2705c813fc741edcd">
  <xsd:schema xmlns:xsd="http://www.w3.org/2001/XMLSchema" xmlns:xs="http://www.w3.org/2001/XMLSchema" xmlns:p="http://schemas.microsoft.com/office/2006/metadata/properties" xmlns:ns2="ac7a786f-a2c7-4d9b-96a8-3d484e57d929" targetNamespace="http://schemas.microsoft.com/office/2006/metadata/properties" ma:root="true" ma:fieldsID="79fddb1682badac180f0e3c21b57d876" ns2:_="">
    <xsd:import namespace="ac7a786f-a2c7-4d9b-96a8-3d484e57d92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7a786f-a2c7-4d9b-96a8-3d484e57d9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867CC2E-EC74-4FED-BADF-DBB7A79ED670}">
  <ds:schemaRefs>
    <ds:schemaRef ds:uri="http://schemas.microsoft.com/sharepoint/v3/contenttype/forms"/>
  </ds:schemaRefs>
</ds:datastoreItem>
</file>

<file path=customXml/itemProps2.xml><?xml version="1.0" encoding="utf-8"?>
<ds:datastoreItem xmlns:ds="http://schemas.openxmlformats.org/officeDocument/2006/customXml" ds:itemID="{10315C2F-EC31-4A52-B890-F7B1EA9A2A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7a786f-a2c7-4d9b-96a8-3d484e57d9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0DF83A-F2C9-43B6-9B11-D76A1B234ACF}">
  <ds:schemaRefs>
    <ds:schemaRef ds:uri="http://schemas.openxmlformats.org/officeDocument/2006/bibliography"/>
  </ds:schemaRefs>
</ds:datastoreItem>
</file>

<file path=customXml/itemProps4.xml><?xml version="1.0" encoding="utf-8"?>
<ds:datastoreItem xmlns:ds="http://schemas.openxmlformats.org/officeDocument/2006/customXml" ds:itemID="{466B0856-D55F-464F-911C-FF77E047235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1460</Words>
  <Characters>8326</Characters>
  <Application>Microsoft Office Word</Application>
  <DocSecurity>0</DocSecurity>
  <Lines>69</Lines>
  <Paragraphs>19</Paragraphs>
  <ScaleCrop>false</ScaleCrop>
  <Company>Oxford City Council</Company>
  <LinksUpToDate>false</LinksUpToDate>
  <CharactersWithSpaces>9767</CharactersWithSpaces>
  <SharedDoc>false</SharedDoc>
  <HLinks>
    <vt:vector size="12" baseType="variant">
      <vt:variant>
        <vt:i4>5374014</vt:i4>
      </vt:variant>
      <vt:variant>
        <vt:i4>0</vt:i4>
      </vt:variant>
      <vt:variant>
        <vt:i4>0</vt:i4>
      </vt:variant>
      <vt:variant>
        <vt:i4>5</vt:i4>
      </vt:variant>
      <vt:variant>
        <vt:lpwstr>mailto:kprotheroe@oxford.gov.uk</vt:lpwstr>
      </vt:variant>
      <vt:variant>
        <vt:lpwstr/>
      </vt:variant>
      <vt:variant>
        <vt:i4>7274501</vt:i4>
      </vt:variant>
      <vt:variant>
        <vt:i4>0</vt:i4>
      </vt:variant>
      <vt:variant>
        <vt:i4>0</vt:i4>
      </vt:variant>
      <vt:variant>
        <vt:i4>5</vt:i4>
      </vt:variant>
      <vt:variant>
        <vt:lpwstr>mailto:acforwardplan@oxford.gov.uk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OxCityCouncil Cabinet report</dc:title>
  <dc:subject/>
  <dc:creator>jmitchell</dc:creator>
  <cp:keywords>OxCityCouncil Report</cp:keywords>
  <cp:lastModifiedBy>MALTON Jonathan</cp:lastModifiedBy>
  <cp:revision>4</cp:revision>
  <cp:lastPrinted>2015-07-03T13:50:00Z</cp:lastPrinted>
  <dcterms:created xsi:type="dcterms:W3CDTF">2025-05-02T13:31:00Z</dcterms:created>
  <dcterms:modified xsi:type="dcterms:W3CDTF">2025-05-02T13:46:00Z</dcterms:modified>
  <cp:category>Report to Council or Committee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0x010100A470084659A8C14A869EF91DDC71B369</vt:lpwstr>
  </property>
</Properties>
</file>